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4C4" w:rsidRPr="00743BEA" w:rsidRDefault="002A24C4" w:rsidP="00743BEA">
      <w:pPr>
        <w:jc w:val="center"/>
        <w:rPr>
          <w:sz w:val="4"/>
          <w:szCs w:val="4"/>
          <w:lang w:val="fr-FR"/>
        </w:rPr>
      </w:pPr>
      <w:bookmarkStart w:id="0" w:name="_GoBack"/>
      <w:bookmarkEnd w:id="0"/>
    </w:p>
    <w:p w:rsidR="002A24C4" w:rsidRPr="00743BEA" w:rsidRDefault="002A24C4" w:rsidP="00743BEA">
      <w:pPr>
        <w:pStyle w:val="DecHTitle"/>
        <w:rPr>
          <w:szCs w:val="24"/>
          <w:lang w:val="fr-FR"/>
        </w:rPr>
      </w:pPr>
    </w:p>
    <w:p w:rsidR="002A24C4" w:rsidRPr="00743BEA" w:rsidRDefault="002A24C4" w:rsidP="00743BEA">
      <w:pPr>
        <w:pStyle w:val="DecHTitle"/>
        <w:rPr>
          <w:lang w:val="fr-FR"/>
        </w:rPr>
      </w:pPr>
      <w:r w:rsidRPr="00743BEA">
        <w:rPr>
          <w:szCs w:val="24"/>
          <w:lang w:val="fr-FR"/>
        </w:rPr>
        <w:t>PREMIÈRE SECTION</w:t>
      </w:r>
    </w:p>
    <w:p w:rsidR="002A24C4" w:rsidRPr="00743BEA" w:rsidRDefault="002A24C4" w:rsidP="00743BEA">
      <w:pPr>
        <w:pStyle w:val="DecHTitle"/>
        <w:rPr>
          <w:caps/>
          <w:sz w:val="32"/>
          <w:lang w:val="fr-FR"/>
        </w:rPr>
      </w:pPr>
      <w:r w:rsidRPr="00743BEA">
        <w:rPr>
          <w:lang w:val="fr-FR"/>
        </w:rPr>
        <w:t>DÉCISION</w:t>
      </w:r>
    </w:p>
    <w:p w:rsidR="002A24C4" w:rsidRPr="00743BEA" w:rsidRDefault="002A24C4" w:rsidP="00743BEA">
      <w:pPr>
        <w:pStyle w:val="ECHRTitleCentre2"/>
        <w:rPr>
          <w:lang w:val="fr-FR"/>
        </w:rPr>
      </w:pPr>
      <w:r w:rsidRPr="00743BEA">
        <w:rPr>
          <w:lang w:val="fr-FR"/>
        </w:rPr>
        <w:t>Requête n</w:t>
      </w:r>
      <w:r w:rsidRPr="00743BEA">
        <w:rPr>
          <w:vertAlign w:val="superscript"/>
          <w:lang w:val="fr-FR"/>
        </w:rPr>
        <w:t>o</w:t>
      </w:r>
      <w:r w:rsidRPr="00743BEA">
        <w:rPr>
          <w:lang w:val="fr-FR"/>
        </w:rPr>
        <w:t xml:space="preserve"> 58330/16</w:t>
      </w:r>
      <w:r w:rsidRPr="00743BEA">
        <w:rPr>
          <w:lang w:val="fr-FR"/>
        </w:rPr>
        <w:br/>
        <w:t>Francesco Luca COSTA SANSEVERINO DI BISIGNANO</w:t>
      </w:r>
      <w:r w:rsidRPr="00743BEA">
        <w:rPr>
          <w:lang w:val="fr-FR"/>
        </w:rPr>
        <w:br/>
        <w:t>contre l</w:t>
      </w:r>
      <w:r w:rsidR="00743BEA" w:rsidRPr="00743BEA">
        <w:rPr>
          <w:lang w:val="fr-FR"/>
        </w:rPr>
        <w:t>’</w:t>
      </w:r>
      <w:r w:rsidRPr="00743BEA">
        <w:rPr>
          <w:lang w:val="fr-FR"/>
        </w:rPr>
        <w:t>Italie</w:t>
      </w:r>
    </w:p>
    <w:p w:rsidR="002A24C4" w:rsidRPr="00743BEA" w:rsidRDefault="002A24C4" w:rsidP="00743BEA">
      <w:pPr>
        <w:pStyle w:val="ECHRPara"/>
        <w:rPr>
          <w:sz w:val="2"/>
          <w:szCs w:val="2"/>
          <w:lang w:val="fr-FR" w:eastAsia="en-GB"/>
        </w:rPr>
      </w:pPr>
    </w:p>
    <w:p w:rsidR="002A24C4" w:rsidRPr="00743BEA" w:rsidRDefault="002A24C4" w:rsidP="00743BEA">
      <w:pPr>
        <w:pStyle w:val="ECHRPara"/>
        <w:rPr>
          <w:lang w:val="fr-FR"/>
        </w:rPr>
      </w:pPr>
      <w:r w:rsidRPr="00743BEA">
        <w:rPr>
          <w:lang w:val="fr-FR"/>
        </w:rPr>
        <w:t>La Cour européenne des droits de l</w:t>
      </w:r>
      <w:r w:rsidR="00743BEA" w:rsidRPr="00743BEA">
        <w:rPr>
          <w:lang w:val="fr-FR"/>
        </w:rPr>
        <w:t>’</w:t>
      </w:r>
      <w:r w:rsidRPr="00743BEA">
        <w:rPr>
          <w:lang w:val="fr-FR"/>
        </w:rPr>
        <w:t>homme (première section), siégeant le 15 mai 2018 en un comité composé de :</w:t>
      </w:r>
    </w:p>
    <w:p w:rsidR="002A24C4" w:rsidRPr="00743BEA" w:rsidRDefault="002A24C4" w:rsidP="00743BEA">
      <w:pPr>
        <w:pStyle w:val="ECHRDecisionBody"/>
        <w:rPr>
          <w:lang w:val="fr-FR"/>
        </w:rPr>
      </w:pPr>
      <w:r w:rsidRPr="00743BEA">
        <w:rPr>
          <w:lang w:val="fr-FR"/>
        </w:rPr>
        <w:tab/>
        <w:t xml:space="preserve">Kristina </w:t>
      </w:r>
      <w:proofErr w:type="spellStart"/>
      <w:r w:rsidRPr="00743BEA">
        <w:rPr>
          <w:lang w:val="fr-FR"/>
        </w:rPr>
        <w:t>Pardalos</w:t>
      </w:r>
      <w:proofErr w:type="spellEnd"/>
      <w:r w:rsidRPr="00743BEA">
        <w:rPr>
          <w:lang w:val="fr-FR"/>
        </w:rPr>
        <w:t>,</w:t>
      </w:r>
      <w:r w:rsidRPr="00743BEA">
        <w:rPr>
          <w:i/>
          <w:lang w:val="fr-FR"/>
        </w:rPr>
        <w:t xml:space="preserve"> présidente,</w:t>
      </w:r>
      <w:r w:rsidRPr="00743BEA">
        <w:rPr>
          <w:i/>
          <w:lang w:val="fr-FR"/>
        </w:rPr>
        <w:br/>
      </w:r>
      <w:r w:rsidRPr="00743BEA">
        <w:rPr>
          <w:lang w:val="fr-FR"/>
        </w:rPr>
        <w:tab/>
      </w:r>
      <w:proofErr w:type="spellStart"/>
      <w:r w:rsidRPr="00743BEA">
        <w:rPr>
          <w:lang w:val="fr-FR"/>
        </w:rPr>
        <w:t>Ksenija</w:t>
      </w:r>
      <w:proofErr w:type="spellEnd"/>
      <w:r w:rsidRPr="00743BEA">
        <w:rPr>
          <w:lang w:val="fr-FR"/>
        </w:rPr>
        <w:t xml:space="preserve"> </w:t>
      </w:r>
      <w:proofErr w:type="spellStart"/>
      <w:r w:rsidRPr="00743BEA">
        <w:rPr>
          <w:lang w:val="fr-FR"/>
        </w:rPr>
        <w:t>Turković</w:t>
      </w:r>
      <w:proofErr w:type="spellEnd"/>
      <w:r w:rsidRPr="00743BEA">
        <w:rPr>
          <w:lang w:val="fr-FR"/>
        </w:rPr>
        <w:t>,</w:t>
      </w:r>
      <w:r w:rsidRPr="00743BEA">
        <w:rPr>
          <w:i/>
          <w:lang w:val="fr-FR"/>
        </w:rPr>
        <w:br/>
      </w:r>
      <w:r w:rsidRPr="00743BEA">
        <w:rPr>
          <w:lang w:val="fr-FR"/>
        </w:rPr>
        <w:tab/>
      </w:r>
      <w:proofErr w:type="spellStart"/>
      <w:r w:rsidRPr="00743BEA">
        <w:rPr>
          <w:lang w:val="fr-FR"/>
        </w:rPr>
        <w:t>Pauliine</w:t>
      </w:r>
      <w:proofErr w:type="spellEnd"/>
      <w:r w:rsidRPr="00743BEA">
        <w:rPr>
          <w:lang w:val="fr-FR"/>
        </w:rPr>
        <w:t xml:space="preserve"> </w:t>
      </w:r>
      <w:proofErr w:type="spellStart"/>
      <w:r w:rsidRPr="00743BEA">
        <w:rPr>
          <w:lang w:val="fr-FR"/>
        </w:rPr>
        <w:t>Koskelo</w:t>
      </w:r>
      <w:proofErr w:type="spellEnd"/>
      <w:r w:rsidRPr="00743BEA">
        <w:rPr>
          <w:lang w:val="fr-FR"/>
        </w:rPr>
        <w:t>,</w:t>
      </w:r>
      <w:r w:rsidRPr="00743BEA">
        <w:rPr>
          <w:i/>
          <w:lang w:val="fr-FR"/>
        </w:rPr>
        <w:t xml:space="preserve"> juges</w:t>
      </w:r>
      <w:proofErr w:type="gramStart"/>
      <w:r w:rsidRPr="00743BEA">
        <w:rPr>
          <w:i/>
          <w:lang w:val="fr-FR"/>
        </w:rPr>
        <w:t>,</w:t>
      </w:r>
      <w:proofErr w:type="gramEnd"/>
      <w:r w:rsidRPr="00743BEA">
        <w:rPr>
          <w:i/>
          <w:lang w:val="fr-FR"/>
        </w:rPr>
        <w:br/>
      </w:r>
      <w:r w:rsidRPr="00743BEA">
        <w:rPr>
          <w:lang w:val="fr-FR"/>
        </w:rPr>
        <w:t xml:space="preserve">et de Renata </w:t>
      </w:r>
      <w:proofErr w:type="spellStart"/>
      <w:r w:rsidRPr="00743BEA">
        <w:rPr>
          <w:lang w:val="fr-FR"/>
        </w:rPr>
        <w:t>Degener</w:t>
      </w:r>
      <w:proofErr w:type="spellEnd"/>
      <w:r w:rsidRPr="00743BEA">
        <w:rPr>
          <w:lang w:val="fr-FR"/>
        </w:rPr>
        <w:t xml:space="preserve">, </w:t>
      </w:r>
      <w:r w:rsidRPr="00743BEA">
        <w:rPr>
          <w:i/>
          <w:lang w:val="fr-FR"/>
        </w:rPr>
        <w:t>greffière adjointe</w:t>
      </w:r>
      <w:r w:rsidRPr="00743BEA">
        <w:rPr>
          <w:i/>
          <w:iCs/>
          <w:lang w:val="fr-FR"/>
        </w:rPr>
        <w:t xml:space="preserve"> d</w:t>
      </w:r>
      <w:r w:rsidRPr="00743BEA">
        <w:rPr>
          <w:i/>
          <w:lang w:val="fr-FR"/>
        </w:rPr>
        <w:t>e section,</w:t>
      </w:r>
    </w:p>
    <w:p w:rsidR="002A24C4" w:rsidRPr="00743BEA" w:rsidRDefault="002A24C4" w:rsidP="00743BEA">
      <w:pPr>
        <w:pStyle w:val="ECHRPara"/>
        <w:rPr>
          <w:lang w:val="fr-FR"/>
        </w:rPr>
      </w:pPr>
      <w:r w:rsidRPr="00743BEA">
        <w:rPr>
          <w:lang w:val="fr-FR"/>
        </w:rPr>
        <w:t>Vu la requête susmentionnée introduite le 30 septembre 2016,</w:t>
      </w:r>
    </w:p>
    <w:p w:rsidR="002A24C4" w:rsidRPr="00743BEA" w:rsidRDefault="002A24C4" w:rsidP="00743BEA">
      <w:pPr>
        <w:pStyle w:val="ECHRPara"/>
        <w:rPr>
          <w:lang w:val="fr-FR"/>
        </w:rPr>
      </w:pPr>
      <w:r w:rsidRPr="00743BEA">
        <w:rPr>
          <w:lang w:val="fr-FR"/>
        </w:rPr>
        <w:t>Vu la déclaration déposée par le gouvernement défendeur le 20 février 2018 et invitant la Cour à rayer la requête du rôle, ainsi que la réponse de la partie requérante</w:t>
      </w:r>
      <w:r w:rsidRPr="00743BEA">
        <w:rPr>
          <w:b/>
          <w:szCs w:val="24"/>
          <w:lang w:val="fr-FR"/>
        </w:rPr>
        <w:t xml:space="preserve"> </w:t>
      </w:r>
      <w:r w:rsidRPr="00743BEA">
        <w:rPr>
          <w:lang w:val="fr-FR"/>
        </w:rPr>
        <w:t>à cette déclaration ;</w:t>
      </w:r>
    </w:p>
    <w:p w:rsidR="002A24C4" w:rsidRPr="00743BEA" w:rsidRDefault="002A24C4" w:rsidP="00743BEA">
      <w:pPr>
        <w:pStyle w:val="ECHRPara"/>
        <w:rPr>
          <w:lang w:val="fr-FR"/>
        </w:rPr>
      </w:pPr>
      <w:r w:rsidRPr="00743BEA">
        <w:rPr>
          <w:lang w:val="fr-FR"/>
        </w:rPr>
        <w:t>Après en avoir délibéré, rend la décision suivante :</w:t>
      </w:r>
    </w:p>
    <w:p w:rsidR="002A24C4" w:rsidRPr="00743BEA" w:rsidRDefault="002A24C4" w:rsidP="00743BEA">
      <w:pPr>
        <w:pStyle w:val="ECHRTitle1"/>
        <w:rPr>
          <w:lang w:val="fr-FR"/>
        </w:rPr>
      </w:pPr>
      <w:r w:rsidRPr="00743BEA">
        <w:rPr>
          <w:lang w:val="fr-FR"/>
        </w:rPr>
        <w:t>FAITS ET PROCÉDURE</w:t>
      </w:r>
    </w:p>
    <w:p w:rsidR="002A24C4" w:rsidRPr="00743BEA" w:rsidRDefault="002A24C4" w:rsidP="00743BEA">
      <w:pPr>
        <w:pStyle w:val="ECHRPara"/>
        <w:rPr>
          <w:lang w:val="fr-FR"/>
        </w:rPr>
      </w:pPr>
      <w:r w:rsidRPr="00743BEA">
        <w:rPr>
          <w:lang w:val="fr-FR"/>
        </w:rPr>
        <w:fldChar w:fldCharType="begin"/>
      </w:r>
      <w:r w:rsidRPr="00743BEA">
        <w:rPr>
          <w:lang w:val="fr-FR"/>
        </w:rPr>
        <w:instrText xml:space="preserve"> SEQ level0 \*arabic </w:instrText>
      </w:r>
      <w:r w:rsidRPr="00743BEA">
        <w:rPr>
          <w:lang w:val="fr-FR"/>
        </w:rPr>
        <w:fldChar w:fldCharType="separate"/>
      </w:r>
      <w:r w:rsidR="00743BEA">
        <w:rPr>
          <w:noProof/>
          <w:lang w:val="fr-FR"/>
        </w:rPr>
        <w:t>1</w:t>
      </w:r>
      <w:r w:rsidRPr="00743BEA">
        <w:rPr>
          <w:lang w:val="fr-FR"/>
        </w:rPr>
        <w:fldChar w:fldCharType="end"/>
      </w:r>
      <w:r w:rsidRPr="00743BEA">
        <w:rPr>
          <w:lang w:val="fr-FR"/>
        </w:rPr>
        <w:t xml:space="preserve">.  Le requérant, M. Francesco Luca Costa </w:t>
      </w:r>
      <w:proofErr w:type="spellStart"/>
      <w:r w:rsidRPr="00743BEA">
        <w:rPr>
          <w:lang w:val="fr-FR"/>
        </w:rPr>
        <w:t>Sanseverino</w:t>
      </w:r>
      <w:proofErr w:type="spellEnd"/>
      <w:r w:rsidRPr="00743BEA">
        <w:rPr>
          <w:lang w:val="fr-FR"/>
        </w:rPr>
        <w:t xml:space="preserve"> di </w:t>
      </w:r>
      <w:proofErr w:type="spellStart"/>
      <w:r w:rsidRPr="00743BEA">
        <w:rPr>
          <w:lang w:val="fr-FR"/>
        </w:rPr>
        <w:t>Bisignano</w:t>
      </w:r>
      <w:proofErr w:type="spellEnd"/>
      <w:r w:rsidRPr="00743BEA">
        <w:rPr>
          <w:lang w:val="fr-FR"/>
        </w:rPr>
        <w:t>, est un ressortissant italien né en 1970 et résidant à Rome. Il a été représenté devant la Cour par M</w:t>
      </w:r>
      <w:r w:rsidRPr="00743BEA">
        <w:rPr>
          <w:vertAlign w:val="superscript"/>
          <w:lang w:val="fr-FR"/>
        </w:rPr>
        <w:t>e</w:t>
      </w:r>
      <w:r w:rsidRPr="00743BEA">
        <w:rPr>
          <w:lang w:val="fr-FR"/>
        </w:rPr>
        <w:t xml:space="preserve"> P. </w:t>
      </w:r>
      <w:proofErr w:type="spellStart"/>
      <w:r w:rsidRPr="00743BEA">
        <w:rPr>
          <w:lang w:val="fr-FR"/>
        </w:rPr>
        <w:t>Ubaldi</w:t>
      </w:r>
      <w:proofErr w:type="spellEnd"/>
      <w:r w:rsidRPr="00743BEA">
        <w:rPr>
          <w:lang w:val="fr-FR"/>
        </w:rPr>
        <w:t>, avocate à Rome.</w:t>
      </w:r>
    </w:p>
    <w:p w:rsidR="002A24C4" w:rsidRPr="00743BEA" w:rsidRDefault="002A24C4" w:rsidP="00743BEA">
      <w:pPr>
        <w:pStyle w:val="ECHRPara"/>
        <w:rPr>
          <w:lang w:val="fr-FR"/>
        </w:rPr>
      </w:pPr>
      <w:r w:rsidRPr="00743BEA">
        <w:rPr>
          <w:lang w:val="fr-FR"/>
        </w:rPr>
        <w:fldChar w:fldCharType="begin"/>
      </w:r>
      <w:r w:rsidRPr="00743BEA">
        <w:rPr>
          <w:lang w:val="fr-FR"/>
        </w:rPr>
        <w:instrText xml:space="preserve"> SEQ level0 \*arabic </w:instrText>
      </w:r>
      <w:r w:rsidRPr="00743BEA">
        <w:rPr>
          <w:lang w:val="fr-FR"/>
        </w:rPr>
        <w:fldChar w:fldCharType="separate"/>
      </w:r>
      <w:r w:rsidR="00743BEA">
        <w:rPr>
          <w:noProof/>
          <w:lang w:val="fr-FR"/>
        </w:rPr>
        <w:t>2</w:t>
      </w:r>
      <w:r w:rsidRPr="00743BEA">
        <w:rPr>
          <w:lang w:val="fr-FR"/>
        </w:rPr>
        <w:fldChar w:fldCharType="end"/>
      </w:r>
      <w:r w:rsidRPr="00743BEA">
        <w:rPr>
          <w:lang w:val="fr-FR"/>
        </w:rPr>
        <w:t xml:space="preserve">.  Le gouvernement italien (« le Gouvernement ») a été représenté par son </w:t>
      </w:r>
      <w:r w:rsidRPr="00743BEA">
        <w:rPr>
          <w:rFonts w:ascii="Times New Roman" w:hAnsi="Times New Roman" w:cs="Times New Roman"/>
          <w:color w:val="000000"/>
          <w:lang w:val="fr-FR"/>
        </w:rPr>
        <w:t>agent, M</w:t>
      </w:r>
      <w:r w:rsidRPr="00743BEA">
        <w:rPr>
          <w:rFonts w:ascii="Times New Roman" w:hAnsi="Times New Roman" w:cs="Times New Roman"/>
          <w:color w:val="000000"/>
          <w:vertAlign w:val="superscript"/>
          <w:lang w:val="fr-FR"/>
        </w:rPr>
        <w:t>me</w:t>
      </w:r>
      <w:r w:rsidRPr="00743BEA">
        <w:rPr>
          <w:rFonts w:ascii="Times New Roman" w:hAnsi="Times New Roman" w:cs="Times New Roman"/>
          <w:color w:val="000000"/>
          <w:lang w:val="fr-FR"/>
        </w:rPr>
        <w:t xml:space="preserve"> E. Spatafora</w:t>
      </w:r>
      <w:r w:rsidRPr="00743BEA">
        <w:rPr>
          <w:lang w:val="fr-FR"/>
        </w:rPr>
        <w:t>.</w:t>
      </w:r>
    </w:p>
    <w:p w:rsidR="002A24C4" w:rsidRPr="00743BEA" w:rsidRDefault="002A24C4" w:rsidP="00743BEA">
      <w:pPr>
        <w:pStyle w:val="ECHRPara"/>
        <w:rPr>
          <w:rFonts w:ascii="Times New Roman" w:hAnsi="Times New Roman" w:cs="Times New Roman"/>
          <w:color w:val="000000"/>
          <w:lang w:val="fr-FR"/>
        </w:rPr>
      </w:pPr>
      <w:r w:rsidRPr="00743BEA">
        <w:rPr>
          <w:lang w:val="fr-FR"/>
        </w:rPr>
        <w:fldChar w:fldCharType="begin"/>
      </w:r>
      <w:r w:rsidRPr="00743BEA">
        <w:rPr>
          <w:lang w:val="fr-FR"/>
        </w:rPr>
        <w:instrText xml:space="preserve"> SEQ level0 \*arabic </w:instrText>
      </w:r>
      <w:r w:rsidRPr="00743BEA">
        <w:rPr>
          <w:lang w:val="fr-FR"/>
        </w:rPr>
        <w:fldChar w:fldCharType="separate"/>
      </w:r>
      <w:r w:rsidR="00743BEA">
        <w:rPr>
          <w:noProof/>
          <w:lang w:val="fr-FR"/>
        </w:rPr>
        <w:t>3</w:t>
      </w:r>
      <w:r w:rsidRPr="00743BEA">
        <w:rPr>
          <w:lang w:val="fr-FR"/>
        </w:rPr>
        <w:fldChar w:fldCharType="end"/>
      </w:r>
      <w:r w:rsidRPr="00743BEA">
        <w:rPr>
          <w:lang w:val="fr-FR"/>
        </w:rPr>
        <w:t>.  Invoquant l</w:t>
      </w:r>
      <w:r w:rsidR="00743BEA" w:rsidRPr="00743BEA">
        <w:rPr>
          <w:lang w:val="fr-FR"/>
        </w:rPr>
        <w:t>’</w:t>
      </w:r>
      <w:r w:rsidRPr="00743BEA">
        <w:rPr>
          <w:lang w:val="fr-FR"/>
        </w:rPr>
        <w:t xml:space="preserve">article 8 de la Convention, le requérant se plaignait </w:t>
      </w:r>
      <w:r w:rsidRPr="00743BEA">
        <w:rPr>
          <w:rFonts w:ascii="Times New Roman" w:hAnsi="Times New Roman" w:cs="Times New Roman"/>
          <w:color w:val="000000"/>
          <w:lang w:val="fr-FR"/>
        </w:rPr>
        <w:t>d</w:t>
      </w:r>
      <w:r w:rsidR="00743BEA" w:rsidRPr="00743BEA">
        <w:rPr>
          <w:rFonts w:ascii="Times New Roman" w:hAnsi="Times New Roman" w:cs="Times New Roman"/>
          <w:color w:val="000000"/>
          <w:lang w:val="fr-FR"/>
        </w:rPr>
        <w:t>’</w:t>
      </w:r>
      <w:r w:rsidRPr="00743BEA">
        <w:rPr>
          <w:rFonts w:ascii="Times New Roman" w:hAnsi="Times New Roman" w:cs="Times New Roman"/>
          <w:color w:val="000000"/>
          <w:lang w:val="fr-FR"/>
        </w:rPr>
        <w:t>une atteinte au droit au respect de sa vie familiale.</w:t>
      </w:r>
    </w:p>
    <w:p w:rsidR="002A24C4" w:rsidRPr="00743BEA" w:rsidRDefault="002A24C4" w:rsidP="00743BEA">
      <w:pPr>
        <w:pStyle w:val="ECHRPara"/>
        <w:rPr>
          <w:lang w:val="fr-FR"/>
        </w:rPr>
      </w:pPr>
      <w:r w:rsidRPr="00743BEA">
        <w:rPr>
          <w:lang w:val="fr-FR"/>
        </w:rPr>
        <w:fldChar w:fldCharType="begin"/>
      </w:r>
      <w:r w:rsidRPr="00743BEA">
        <w:rPr>
          <w:lang w:val="fr-FR"/>
        </w:rPr>
        <w:instrText xml:space="preserve"> SEQ level0 \*arabic </w:instrText>
      </w:r>
      <w:r w:rsidRPr="00743BEA">
        <w:rPr>
          <w:lang w:val="fr-FR"/>
        </w:rPr>
        <w:fldChar w:fldCharType="separate"/>
      </w:r>
      <w:r w:rsidR="00743BEA">
        <w:rPr>
          <w:noProof/>
          <w:lang w:val="fr-FR"/>
        </w:rPr>
        <w:t>4</w:t>
      </w:r>
      <w:r w:rsidRPr="00743BEA">
        <w:rPr>
          <w:lang w:val="fr-FR"/>
        </w:rPr>
        <w:fldChar w:fldCharType="end"/>
      </w:r>
      <w:r w:rsidRPr="00743BEA">
        <w:rPr>
          <w:lang w:val="fr-FR"/>
        </w:rPr>
        <w:t xml:space="preserve">.  La requête </w:t>
      </w:r>
      <w:r w:rsidRPr="00743BEA">
        <w:rPr>
          <w:bCs/>
          <w:szCs w:val="24"/>
          <w:lang w:val="fr-FR" w:eastAsia="en-GB"/>
        </w:rPr>
        <w:t>avait été communiquée</w:t>
      </w:r>
      <w:r w:rsidRPr="00743BEA">
        <w:rPr>
          <w:lang w:val="fr-FR"/>
        </w:rPr>
        <w:t xml:space="preserve"> </w:t>
      </w:r>
      <w:r w:rsidRPr="00743BEA">
        <w:rPr>
          <w:szCs w:val="24"/>
          <w:lang w:val="fr-FR" w:eastAsia="en-GB"/>
        </w:rPr>
        <w:t>a</w:t>
      </w:r>
      <w:r w:rsidRPr="00743BEA">
        <w:rPr>
          <w:color w:val="000000"/>
          <w:szCs w:val="24"/>
          <w:lang w:val="fr-FR" w:eastAsia="en-GB"/>
        </w:rPr>
        <w:t>u Gouvernement</w:t>
      </w:r>
      <w:r w:rsidRPr="00743BEA">
        <w:rPr>
          <w:color w:val="0000FF"/>
          <w:szCs w:val="24"/>
          <w:lang w:val="fr-FR" w:eastAsia="en-GB"/>
        </w:rPr>
        <w:t>.</w:t>
      </w:r>
    </w:p>
    <w:p w:rsidR="002A24C4" w:rsidRPr="00743BEA" w:rsidRDefault="002A24C4" w:rsidP="00743BEA">
      <w:pPr>
        <w:pStyle w:val="ECHRTitle1"/>
        <w:rPr>
          <w:lang w:val="fr-FR"/>
        </w:rPr>
      </w:pPr>
      <w:r w:rsidRPr="00743BEA">
        <w:rPr>
          <w:lang w:val="fr-FR"/>
        </w:rPr>
        <w:lastRenderedPageBreak/>
        <w:t>EN DROIT</w:t>
      </w:r>
    </w:p>
    <w:p w:rsidR="002A24C4" w:rsidRPr="00743BEA" w:rsidRDefault="002A24C4" w:rsidP="00743BEA">
      <w:pPr>
        <w:pStyle w:val="ECHRHeading2"/>
        <w:rPr>
          <w:lang w:val="fr-FR"/>
        </w:rPr>
      </w:pPr>
      <w:r w:rsidRPr="00743BEA">
        <w:rPr>
          <w:lang w:val="fr-FR"/>
        </w:rPr>
        <w:t>A.</w:t>
      </w:r>
      <w:proofErr w:type="gramStart"/>
      <w:r w:rsidRPr="00743BEA">
        <w:rPr>
          <w:lang w:val="fr-FR"/>
        </w:rPr>
        <w:t>  La</w:t>
      </w:r>
      <w:proofErr w:type="gramEnd"/>
      <w:r w:rsidRPr="00743BEA">
        <w:rPr>
          <w:lang w:val="fr-FR"/>
        </w:rPr>
        <w:t xml:space="preserve"> déclaration unilatérale du Gouvernement</w:t>
      </w:r>
    </w:p>
    <w:p w:rsidR="002A24C4" w:rsidRPr="00743BEA" w:rsidRDefault="002A24C4" w:rsidP="00743BEA">
      <w:pPr>
        <w:pStyle w:val="ECHRPara"/>
        <w:rPr>
          <w:lang w:val="fr-FR"/>
        </w:rPr>
      </w:pPr>
      <w:r w:rsidRPr="00743BEA">
        <w:rPr>
          <w:szCs w:val="24"/>
          <w:lang w:val="fr-FR"/>
        </w:rPr>
        <w:fldChar w:fldCharType="begin"/>
      </w:r>
      <w:r w:rsidRPr="00743BEA">
        <w:rPr>
          <w:szCs w:val="24"/>
          <w:lang w:val="fr-FR"/>
        </w:rPr>
        <w:instrText xml:space="preserve"> SEQ level0 \*arabic </w:instrText>
      </w:r>
      <w:r w:rsidRPr="00743BEA">
        <w:rPr>
          <w:szCs w:val="24"/>
          <w:lang w:val="fr-FR"/>
        </w:rPr>
        <w:fldChar w:fldCharType="separate"/>
      </w:r>
      <w:r w:rsidR="00743BEA">
        <w:rPr>
          <w:noProof/>
          <w:szCs w:val="24"/>
          <w:lang w:val="fr-FR"/>
        </w:rPr>
        <w:t>5</w:t>
      </w:r>
      <w:r w:rsidRPr="00743BEA">
        <w:rPr>
          <w:szCs w:val="24"/>
          <w:lang w:val="fr-FR"/>
        </w:rPr>
        <w:fldChar w:fldCharType="end"/>
      </w:r>
      <w:r w:rsidRPr="00743BEA">
        <w:rPr>
          <w:szCs w:val="24"/>
          <w:lang w:val="fr-FR"/>
        </w:rPr>
        <w:t>.  La partie requérante</w:t>
      </w:r>
      <w:r w:rsidRPr="00743BEA">
        <w:rPr>
          <w:lang w:val="fr-FR"/>
        </w:rPr>
        <w:t xml:space="preserve"> se plaignait du</w:t>
      </w:r>
      <w:r w:rsidRPr="00743BEA">
        <w:rPr>
          <w:rFonts w:ascii="Times New Roman" w:hAnsi="Times New Roman" w:cs="Times New Roman"/>
          <w:color w:val="000000"/>
          <w:lang w:val="fr-FR"/>
        </w:rPr>
        <w:t xml:space="preserve"> manque de diligence des autorités compétentes afin d</w:t>
      </w:r>
      <w:r w:rsidR="00743BEA" w:rsidRPr="00743BEA">
        <w:rPr>
          <w:rFonts w:ascii="Times New Roman" w:hAnsi="Times New Roman" w:cs="Times New Roman"/>
          <w:color w:val="000000"/>
          <w:lang w:val="fr-FR"/>
        </w:rPr>
        <w:t>’</w:t>
      </w:r>
      <w:r w:rsidRPr="00743BEA">
        <w:rPr>
          <w:rFonts w:ascii="Times New Roman" w:hAnsi="Times New Roman" w:cs="Times New Roman"/>
          <w:color w:val="000000"/>
          <w:lang w:val="fr-FR"/>
        </w:rPr>
        <w:t>obtenir la mise en œuvre de son droit de visite dans les conditions fixées par les juridictions internes depuis 2009</w:t>
      </w:r>
      <w:r w:rsidRPr="00743BEA">
        <w:rPr>
          <w:lang w:val="fr-FR"/>
        </w:rPr>
        <w:t>. Elle invoquait l</w:t>
      </w:r>
      <w:r w:rsidR="00743BEA" w:rsidRPr="00743BEA">
        <w:rPr>
          <w:lang w:val="fr-FR"/>
        </w:rPr>
        <w:t>’</w:t>
      </w:r>
      <w:r w:rsidRPr="00743BEA">
        <w:rPr>
          <w:lang w:val="fr-FR"/>
        </w:rPr>
        <w:t>article 8 de la Convention.</w:t>
      </w:r>
    </w:p>
    <w:p w:rsidR="002A24C4" w:rsidRPr="00743BEA" w:rsidRDefault="002A24C4" w:rsidP="00743BEA">
      <w:pPr>
        <w:pStyle w:val="ECHRPara"/>
        <w:rPr>
          <w:szCs w:val="24"/>
          <w:lang w:val="fr-FR"/>
        </w:rPr>
      </w:pPr>
      <w:r w:rsidRPr="00743BEA">
        <w:rPr>
          <w:lang w:val="fr-FR"/>
        </w:rPr>
        <w:fldChar w:fldCharType="begin"/>
      </w:r>
      <w:r w:rsidRPr="00743BEA">
        <w:rPr>
          <w:lang w:val="fr-FR"/>
        </w:rPr>
        <w:instrText xml:space="preserve"> SEQ level0 \*arabic </w:instrText>
      </w:r>
      <w:r w:rsidRPr="00743BEA">
        <w:rPr>
          <w:lang w:val="fr-FR"/>
        </w:rPr>
        <w:fldChar w:fldCharType="separate"/>
      </w:r>
      <w:r w:rsidR="00743BEA">
        <w:rPr>
          <w:noProof/>
          <w:lang w:val="fr-FR"/>
        </w:rPr>
        <w:t>6</w:t>
      </w:r>
      <w:r w:rsidRPr="00743BEA">
        <w:rPr>
          <w:lang w:val="fr-FR"/>
        </w:rPr>
        <w:fldChar w:fldCharType="end"/>
      </w:r>
      <w:r w:rsidRPr="00743BEA">
        <w:rPr>
          <w:lang w:val="fr-FR"/>
        </w:rPr>
        <w:t>.  Après l</w:t>
      </w:r>
      <w:r w:rsidR="00743BEA" w:rsidRPr="00743BEA">
        <w:rPr>
          <w:lang w:val="fr-FR"/>
        </w:rPr>
        <w:t>’</w:t>
      </w:r>
      <w:r w:rsidRPr="00743BEA">
        <w:rPr>
          <w:lang w:val="fr-FR"/>
        </w:rPr>
        <w:t xml:space="preserve">échec des tentatives de règlement amiable, </w:t>
      </w:r>
      <w:r w:rsidRPr="00743BEA">
        <w:rPr>
          <w:szCs w:val="24"/>
          <w:lang w:val="fr-FR"/>
        </w:rPr>
        <w:t>le Gouvernement a informé la Cour qu</w:t>
      </w:r>
      <w:r w:rsidR="00743BEA" w:rsidRPr="00743BEA">
        <w:rPr>
          <w:szCs w:val="24"/>
          <w:lang w:val="fr-FR"/>
        </w:rPr>
        <w:t>’</w:t>
      </w:r>
      <w:r w:rsidRPr="00743BEA">
        <w:rPr>
          <w:szCs w:val="24"/>
          <w:lang w:val="fr-FR"/>
        </w:rPr>
        <w:t xml:space="preserve">il envisageait de formuler une déclaration unilatérale afin de résoudre la question soulevée par </w:t>
      </w:r>
      <w:r w:rsidRPr="00743BEA">
        <w:rPr>
          <w:lang w:val="fr-FR"/>
        </w:rPr>
        <w:t>la requête</w:t>
      </w:r>
      <w:r w:rsidRPr="00743BEA">
        <w:rPr>
          <w:szCs w:val="24"/>
          <w:lang w:val="fr-FR"/>
        </w:rPr>
        <w:t>. Il a, en outre, invité la Cour à rayer celle-ci du rôle en application de l</w:t>
      </w:r>
      <w:r w:rsidR="00743BEA" w:rsidRPr="00743BEA">
        <w:rPr>
          <w:szCs w:val="24"/>
          <w:lang w:val="fr-FR"/>
        </w:rPr>
        <w:t>’</w:t>
      </w:r>
      <w:r w:rsidRPr="00743BEA">
        <w:rPr>
          <w:szCs w:val="24"/>
          <w:lang w:val="fr-FR"/>
        </w:rPr>
        <w:t>article 37 de la Convention.</w:t>
      </w:r>
    </w:p>
    <w:p w:rsidR="002A24C4" w:rsidRPr="00743BEA" w:rsidRDefault="002A24C4" w:rsidP="00743BEA">
      <w:pPr>
        <w:pStyle w:val="ECHRPara"/>
        <w:rPr>
          <w:szCs w:val="24"/>
          <w:lang w:val="fr-FR"/>
        </w:rPr>
      </w:pPr>
      <w:r w:rsidRPr="00743BEA">
        <w:rPr>
          <w:szCs w:val="24"/>
          <w:lang w:val="fr-FR"/>
        </w:rPr>
        <w:fldChar w:fldCharType="begin"/>
      </w:r>
      <w:r w:rsidRPr="00743BEA">
        <w:rPr>
          <w:szCs w:val="24"/>
          <w:lang w:val="fr-FR"/>
        </w:rPr>
        <w:instrText xml:space="preserve"> SEQ level0 \*arabic </w:instrText>
      </w:r>
      <w:r w:rsidRPr="00743BEA">
        <w:rPr>
          <w:szCs w:val="24"/>
          <w:lang w:val="fr-FR"/>
        </w:rPr>
        <w:fldChar w:fldCharType="separate"/>
      </w:r>
      <w:r w:rsidR="00743BEA">
        <w:rPr>
          <w:noProof/>
          <w:szCs w:val="24"/>
          <w:lang w:val="fr-FR"/>
        </w:rPr>
        <w:t>7</w:t>
      </w:r>
      <w:r w:rsidRPr="00743BEA">
        <w:rPr>
          <w:szCs w:val="24"/>
          <w:lang w:val="fr-FR"/>
        </w:rPr>
        <w:fldChar w:fldCharType="end"/>
      </w:r>
      <w:r w:rsidRPr="00743BEA">
        <w:rPr>
          <w:szCs w:val="24"/>
          <w:lang w:val="fr-FR"/>
        </w:rPr>
        <w:t>.  La déclaration était ainsi libellée :</w:t>
      </w:r>
    </w:p>
    <w:p w:rsidR="002A24C4" w:rsidRPr="00743BEA" w:rsidRDefault="002A24C4" w:rsidP="00743BEA">
      <w:pPr>
        <w:pStyle w:val="ECHRParaQuote"/>
        <w:rPr>
          <w:lang w:val="fr-FR"/>
        </w:rPr>
      </w:pPr>
      <w:r w:rsidRPr="00743BEA">
        <w:rPr>
          <w:lang w:val="fr-FR"/>
        </w:rPr>
        <w:t>« Le Gouvernement italien observe que le requérant, en raison du manque de diligence des autorités compétentes dans la mise en œuvre de son droit de visite dans les conditions fixées par les juridictions internes, a subi la violation de l</w:t>
      </w:r>
      <w:r w:rsidR="00743BEA" w:rsidRPr="00743BEA">
        <w:rPr>
          <w:lang w:val="fr-FR"/>
        </w:rPr>
        <w:t>’</w:t>
      </w:r>
      <w:r w:rsidRPr="00743BEA">
        <w:rPr>
          <w:lang w:val="fr-FR"/>
        </w:rPr>
        <w:t>article 8 de la Convention.</w:t>
      </w:r>
    </w:p>
    <w:p w:rsidR="002A24C4" w:rsidRPr="00743BEA" w:rsidRDefault="002A24C4" w:rsidP="00743BEA">
      <w:pPr>
        <w:pStyle w:val="ECHRParaQuote"/>
        <w:rPr>
          <w:lang w:val="fr-FR"/>
        </w:rPr>
      </w:pPr>
      <w:r w:rsidRPr="00743BEA">
        <w:rPr>
          <w:lang w:val="fr-FR"/>
        </w:rPr>
        <w:t>Le Gouvernement offre au requérant, au sens de l</w:t>
      </w:r>
      <w:r w:rsidR="00743BEA" w:rsidRPr="00743BEA">
        <w:rPr>
          <w:lang w:val="fr-FR"/>
        </w:rPr>
        <w:t>’</w:t>
      </w:r>
      <w:r w:rsidRPr="00743BEA">
        <w:rPr>
          <w:lang w:val="fr-FR"/>
        </w:rPr>
        <w:t>article 62 A du règlement de la Cour, la somme de 15 000 (quinze mille) euros à titre de redressement pour tous les dommages, frais et dépenses confondus.</w:t>
      </w:r>
    </w:p>
    <w:p w:rsidR="002A24C4" w:rsidRPr="00743BEA" w:rsidRDefault="002A24C4" w:rsidP="00743BEA">
      <w:pPr>
        <w:pStyle w:val="ECHRParaQuote"/>
        <w:rPr>
          <w:color w:val="000000" w:themeColor="text1"/>
          <w:lang w:val="fr-FR"/>
        </w:rPr>
      </w:pPr>
      <w:r w:rsidRPr="00743BEA">
        <w:rPr>
          <w:lang w:val="fr-FR"/>
        </w:rPr>
        <w:t>Cette somme sera payée dans les trois mois suivant la date de la notification de la décision de la Cour rendue conformément à l</w:t>
      </w:r>
      <w:r w:rsidR="00743BEA" w:rsidRPr="00743BEA">
        <w:rPr>
          <w:lang w:val="fr-FR"/>
        </w:rPr>
        <w:t>’</w:t>
      </w:r>
      <w:r w:rsidRPr="00743BEA">
        <w:rPr>
          <w:lang w:val="fr-FR"/>
        </w:rPr>
        <w:t>article 37 § 1 de la Convention européenne des droits de l</w:t>
      </w:r>
      <w:r w:rsidR="00743BEA" w:rsidRPr="00743BEA">
        <w:rPr>
          <w:lang w:val="fr-FR"/>
        </w:rPr>
        <w:t>’</w:t>
      </w:r>
      <w:r w:rsidRPr="00743BEA">
        <w:rPr>
          <w:lang w:val="fr-FR"/>
        </w:rPr>
        <w:t>homme. À défaut de règlement dans ledit délai, le Gouvernement s</w:t>
      </w:r>
      <w:r w:rsidR="00743BEA" w:rsidRPr="00743BEA">
        <w:rPr>
          <w:lang w:val="fr-FR"/>
        </w:rPr>
        <w:t>’</w:t>
      </w:r>
      <w:r w:rsidRPr="00743BEA">
        <w:rPr>
          <w:lang w:val="fr-FR"/>
        </w:rPr>
        <w:t>engage à verser, à compter de l</w:t>
      </w:r>
      <w:r w:rsidR="00743BEA" w:rsidRPr="00743BEA">
        <w:rPr>
          <w:lang w:val="fr-FR"/>
        </w:rPr>
        <w:t>’</w:t>
      </w:r>
      <w:r w:rsidRPr="00743BEA">
        <w:rPr>
          <w:lang w:val="fr-FR"/>
        </w:rPr>
        <w:t>expiration de celui-ci et jusqu</w:t>
      </w:r>
      <w:r w:rsidR="00743BEA" w:rsidRPr="00743BEA">
        <w:rPr>
          <w:lang w:val="fr-FR"/>
        </w:rPr>
        <w:t>’</w:t>
      </w:r>
      <w:r w:rsidRPr="00743BEA">
        <w:rPr>
          <w:lang w:val="fr-FR"/>
        </w:rPr>
        <w:t xml:space="preserve">au règlement effectif de la somme en question, un intérêt simple à un taux égal à celui de la facilité de prêt marginal de la Banque central européenne, augmenté de trois points de </w:t>
      </w:r>
      <w:r w:rsidRPr="00743BEA">
        <w:rPr>
          <w:color w:val="000000" w:themeColor="text1"/>
          <w:lang w:val="fr-FR"/>
        </w:rPr>
        <w:t>pourcentage. Ce versement vaudra règlement définitif de l</w:t>
      </w:r>
      <w:r w:rsidR="00743BEA" w:rsidRPr="00743BEA">
        <w:rPr>
          <w:color w:val="000000" w:themeColor="text1"/>
          <w:lang w:val="fr-FR"/>
        </w:rPr>
        <w:t>’</w:t>
      </w:r>
      <w:r w:rsidRPr="00743BEA">
        <w:rPr>
          <w:color w:val="000000" w:themeColor="text1"/>
          <w:lang w:val="fr-FR"/>
        </w:rPr>
        <w:t>affaire.</w:t>
      </w:r>
    </w:p>
    <w:p w:rsidR="002A24C4" w:rsidRPr="00743BEA" w:rsidRDefault="002A24C4" w:rsidP="00743BEA">
      <w:pPr>
        <w:pStyle w:val="ECHRParaQuote"/>
        <w:rPr>
          <w:lang w:val="fr-FR"/>
        </w:rPr>
      </w:pPr>
      <w:r w:rsidRPr="00743BEA">
        <w:rPr>
          <w:lang w:val="fr-FR"/>
        </w:rPr>
        <w:t>Par conséquent, le Gouvernement invite respectueusement la Cour à dire qu</w:t>
      </w:r>
      <w:r w:rsidR="00743BEA" w:rsidRPr="00743BEA">
        <w:rPr>
          <w:lang w:val="fr-FR"/>
        </w:rPr>
        <w:t>’</w:t>
      </w:r>
      <w:r w:rsidRPr="00743BEA">
        <w:rPr>
          <w:lang w:val="fr-FR"/>
        </w:rPr>
        <w:t>il ne se justifie plus de poursuivre l</w:t>
      </w:r>
      <w:r w:rsidR="00743BEA" w:rsidRPr="00743BEA">
        <w:rPr>
          <w:lang w:val="fr-FR"/>
        </w:rPr>
        <w:t>’</w:t>
      </w:r>
      <w:r w:rsidRPr="00743BEA">
        <w:rPr>
          <w:lang w:val="fr-FR"/>
        </w:rPr>
        <w:t>examen de la requête et à la rayer du rôle conformément à l</w:t>
      </w:r>
      <w:r w:rsidR="00743BEA" w:rsidRPr="00743BEA">
        <w:rPr>
          <w:lang w:val="fr-FR"/>
        </w:rPr>
        <w:t>’</w:t>
      </w:r>
      <w:r w:rsidRPr="00743BEA">
        <w:rPr>
          <w:lang w:val="fr-FR"/>
        </w:rPr>
        <w:t>article 37 de la Convention. »</w:t>
      </w:r>
    </w:p>
    <w:p w:rsidR="002A24C4" w:rsidRPr="00743BEA" w:rsidRDefault="002A24C4" w:rsidP="00743BEA">
      <w:pPr>
        <w:pStyle w:val="ECHRPara"/>
        <w:rPr>
          <w:color w:val="000000" w:themeColor="text1"/>
          <w:szCs w:val="24"/>
          <w:lang w:val="fr-FR"/>
        </w:rPr>
      </w:pPr>
      <w:r w:rsidRPr="00743BEA">
        <w:rPr>
          <w:rFonts w:ascii="Times New Roman" w:hAnsi="Times New Roman" w:cs="Times New Roman"/>
          <w:color w:val="000000" w:themeColor="text1"/>
          <w:lang w:val="fr-FR"/>
        </w:rPr>
        <w:fldChar w:fldCharType="begin"/>
      </w:r>
      <w:r w:rsidRPr="00743BEA">
        <w:rPr>
          <w:rFonts w:ascii="Times New Roman" w:hAnsi="Times New Roman" w:cs="Times New Roman"/>
          <w:color w:val="000000" w:themeColor="text1"/>
          <w:lang w:val="fr-FR"/>
        </w:rPr>
        <w:instrText xml:space="preserve"> SEQ level0 \*arabic </w:instrText>
      </w:r>
      <w:r w:rsidRPr="00743BEA">
        <w:rPr>
          <w:rFonts w:ascii="Times New Roman" w:hAnsi="Times New Roman" w:cs="Times New Roman"/>
          <w:color w:val="000000" w:themeColor="text1"/>
          <w:lang w:val="fr-FR"/>
        </w:rPr>
        <w:fldChar w:fldCharType="separate"/>
      </w:r>
      <w:r w:rsidR="00743BEA">
        <w:rPr>
          <w:rFonts w:ascii="Times New Roman" w:hAnsi="Times New Roman" w:cs="Times New Roman"/>
          <w:noProof/>
          <w:color w:val="000000" w:themeColor="text1"/>
          <w:lang w:val="fr-FR"/>
        </w:rPr>
        <w:t>8</w:t>
      </w:r>
      <w:r w:rsidRPr="00743BEA">
        <w:rPr>
          <w:rFonts w:ascii="Times New Roman" w:hAnsi="Times New Roman" w:cs="Times New Roman"/>
          <w:color w:val="000000" w:themeColor="text1"/>
          <w:lang w:val="fr-FR"/>
        </w:rPr>
        <w:fldChar w:fldCharType="end"/>
      </w:r>
      <w:r w:rsidRPr="00743BEA">
        <w:rPr>
          <w:rFonts w:ascii="Times New Roman" w:hAnsi="Times New Roman" w:cs="Times New Roman"/>
          <w:color w:val="000000" w:themeColor="text1"/>
          <w:lang w:val="fr-FR"/>
        </w:rPr>
        <w:t>.  La partie requérante a indiqué, dans une lettre du 17 février 2018, qu</w:t>
      </w:r>
      <w:r w:rsidR="00743BEA" w:rsidRPr="00743BEA">
        <w:rPr>
          <w:rFonts w:ascii="Times New Roman" w:hAnsi="Times New Roman" w:cs="Times New Roman"/>
          <w:color w:val="000000" w:themeColor="text1"/>
          <w:lang w:val="fr-FR"/>
        </w:rPr>
        <w:t>’</w:t>
      </w:r>
      <w:r w:rsidRPr="00743BEA">
        <w:rPr>
          <w:rFonts w:ascii="Times New Roman" w:hAnsi="Times New Roman" w:cs="Times New Roman"/>
          <w:color w:val="000000" w:themeColor="text1"/>
          <w:lang w:val="fr-FR"/>
        </w:rPr>
        <w:t>elle acceptait la somme a titre de dommage morale mais elle affirmait que la somme proposée serait insuffisante pour couvrir les frais et dépenses de la procédure devant la Cour.</w:t>
      </w:r>
    </w:p>
    <w:p w:rsidR="002A24C4" w:rsidRPr="00743BEA" w:rsidRDefault="002A24C4" w:rsidP="00743BEA">
      <w:pPr>
        <w:pStyle w:val="ECHRPara"/>
        <w:rPr>
          <w:lang w:val="fr-FR"/>
        </w:rPr>
      </w:pPr>
      <w:r w:rsidRPr="00743BEA">
        <w:rPr>
          <w:color w:val="000000" w:themeColor="text1"/>
          <w:szCs w:val="24"/>
          <w:lang w:val="fr-FR"/>
        </w:rPr>
        <w:fldChar w:fldCharType="begin"/>
      </w:r>
      <w:r w:rsidRPr="00743BEA">
        <w:rPr>
          <w:color w:val="000000" w:themeColor="text1"/>
          <w:szCs w:val="24"/>
          <w:lang w:val="fr-FR"/>
        </w:rPr>
        <w:instrText xml:space="preserve"> SEQ level0 \*arabic </w:instrText>
      </w:r>
      <w:r w:rsidRPr="00743BEA">
        <w:rPr>
          <w:color w:val="000000" w:themeColor="text1"/>
          <w:szCs w:val="24"/>
          <w:lang w:val="fr-FR"/>
        </w:rPr>
        <w:fldChar w:fldCharType="separate"/>
      </w:r>
      <w:r w:rsidR="00743BEA">
        <w:rPr>
          <w:noProof/>
          <w:color w:val="000000" w:themeColor="text1"/>
          <w:szCs w:val="24"/>
          <w:lang w:val="fr-FR"/>
        </w:rPr>
        <w:t>9</w:t>
      </w:r>
      <w:r w:rsidRPr="00743BEA">
        <w:rPr>
          <w:color w:val="000000" w:themeColor="text1"/>
          <w:szCs w:val="24"/>
          <w:lang w:val="fr-FR"/>
        </w:rPr>
        <w:fldChar w:fldCharType="end"/>
      </w:r>
      <w:r w:rsidRPr="00743BEA">
        <w:rPr>
          <w:color w:val="000000" w:themeColor="text1"/>
          <w:szCs w:val="24"/>
          <w:lang w:val="fr-FR"/>
        </w:rPr>
        <w:t>.  La Cour rappelle qu</w:t>
      </w:r>
      <w:r w:rsidR="00743BEA" w:rsidRPr="00743BEA">
        <w:rPr>
          <w:color w:val="000000" w:themeColor="text1"/>
          <w:szCs w:val="24"/>
          <w:lang w:val="fr-FR"/>
        </w:rPr>
        <w:t>’</w:t>
      </w:r>
      <w:r w:rsidRPr="00743BEA">
        <w:rPr>
          <w:color w:val="000000" w:themeColor="text1"/>
          <w:szCs w:val="24"/>
          <w:lang w:val="fr-FR"/>
        </w:rPr>
        <w:t>en vertu de l</w:t>
      </w:r>
      <w:r w:rsidR="00743BEA" w:rsidRPr="00743BEA">
        <w:rPr>
          <w:color w:val="000000" w:themeColor="text1"/>
          <w:szCs w:val="24"/>
          <w:lang w:val="fr-FR"/>
        </w:rPr>
        <w:t>’</w:t>
      </w:r>
      <w:r w:rsidRPr="00743BEA">
        <w:rPr>
          <w:color w:val="000000" w:themeColor="text1"/>
          <w:szCs w:val="24"/>
          <w:lang w:val="fr-FR"/>
        </w:rPr>
        <w:t xml:space="preserve">article </w:t>
      </w:r>
      <w:r w:rsidRPr="00743BEA">
        <w:rPr>
          <w:color w:val="000000" w:themeColor="text1"/>
          <w:lang w:val="fr-FR"/>
        </w:rPr>
        <w:t>37 de la Convention, à tout moment de la procédure, elle peut décider de rayer une requête du rôle lorsque les circonstances l</w:t>
      </w:r>
      <w:r w:rsidR="00743BEA" w:rsidRPr="00743BEA">
        <w:rPr>
          <w:color w:val="000000" w:themeColor="text1"/>
          <w:lang w:val="fr-FR"/>
        </w:rPr>
        <w:t>’</w:t>
      </w:r>
      <w:r w:rsidRPr="00743BEA">
        <w:rPr>
          <w:color w:val="000000" w:themeColor="text1"/>
          <w:lang w:val="fr-FR"/>
        </w:rPr>
        <w:t>amènent à l</w:t>
      </w:r>
      <w:r w:rsidR="00743BEA" w:rsidRPr="00743BEA">
        <w:rPr>
          <w:color w:val="000000" w:themeColor="text1"/>
          <w:lang w:val="fr-FR"/>
        </w:rPr>
        <w:t>’</w:t>
      </w:r>
      <w:r w:rsidRPr="00743BEA">
        <w:rPr>
          <w:color w:val="000000" w:themeColor="text1"/>
          <w:lang w:val="fr-FR"/>
        </w:rPr>
        <w:t>une des conclusions énoncées aux alinéas a), b) ou c) du paragraphe 1 de cet article. L</w:t>
      </w:r>
      <w:r w:rsidR="00743BEA" w:rsidRPr="00743BEA">
        <w:rPr>
          <w:color w:val="000000" w:themeColor="text1"/>
          <w:lang w:val="fr-FR"/>
        </w:rPr>
        <w:t>’</w:t>
      </w:r>
      <w:r w:rsidRPr="00743BEA">
        <w:rPr>
          <w:color w:val="000000" w:themeColor="text1"/>
          <w:lang w:val="fr-FR"/>
        </w:rPr>
        <w:t xml:space="preserve">article 37 § 1 c) lui permet en particulier de </w:t>
      </w:r>
      <w:r w:rsidRPr="00743BEA">
        <w:rPr>
          <w:lang w:val="fr-FR"/>
        </w:rPr>
        <w:t>rayer une affaire du rôle si :</w:t>
      </w:r>
    </w:p>
    <w:p w:rsidR="002A24C4" w:rsidRPr="00743BEA" w:rsidRDefault="002A24C4" w:rsidP="00743BEA">
      <w:pPr>
        <w:pStyle w:val="ECHRPara"/>
        <w:rPr>
          <w:szCs w:val="24"/>
          <w:lang w:val="fr-FR"/>
        </w:rPr>
      </w:pPr>
      <w:r w:rsidRPr="00743BEA">
        <w:rPr>
          <w:lang w:val="fr-FR"/>
        </w:rPr>
        <w:t>« </w:t>
      </w:r>
      <w:proofErr w:type="gramStart"/>
      <w:r w:rsidRPr="00743BEA">
        <w:rPr>
          <w:lang w:val="fr-FR"/>
        </w:rPr>
        <w:t>pour</w:t>
      </w:r>
      <w:proofErr w:type="gramEnd"/>
      <w:r w:rsidRPr="00743BEA">
        <w:rPr>
          <w:lang w:val="fr-FR"/>
        </w:rPr>
        <w:t xml:space="preserve"> tout autre motif dont la Cour constate l</w:t>
      </w:r>
      <w:r w:rsidR="00743BEA" w:rsidRPr="00743BEA">
        <w:rPr>
          <w:lang w:val="fr-FR"/>
        </w:rPr>
        <w:t>’</w:t>
      </w:r>
      <w:r w:rsidRPr="00743BEA">
        <w:rPr>
          <w:lang w:val="fr-FR"/>
        </w:rPr>
        <w:t>existence, il ne se justifie plus de poursuivre l</w:t>
      </w:r>
      <w:r w:rsidR="00743BEA" w:rsidRPr="00743BEA">
        <w:rPr>
          <w:lang w:val="fr-FR"/>
        </w:rPr>
        <w:t>’</w:t>
      </w:r>
      <w:r w:rsidRPr="00743BEA">
        <w:rPr>
          <w:lang w:val="fr-FR"/>
        </w:rPr>
        <w:t>examen de la requête ».</w:t>
      </w:r>
    </w:p>
    <w:p w:rsidR="002A24C4" w:rsidRPr="00743BEA" w:rsidRDefault="002A24C4" w:rsidP="00743BEA">
      <w:pPr>
        <w:pStyle w:val="ECHRPara"/>
        <w:keepNext/>
        <w:keepLines/>
        <w:rPr>
          <w:lang w:val="fr-FR"/>
        </w:rPr>
      </w:pPr>
      <w:r w:rsidRPr="00743BEA">
        <w:rPr>
          <w:lang w:val="fr-FR"/>
        </w:rPr>
        <w:lastRenderedPageBreak/>
        <w:fldChar w:fldCharType="begin"/>
      </w:r>
      <w:r w:rsidRPr="00743BEA">
        <w:rPr>
          <w:lang w:val="fr-FR"/>
        </w:rPr>
        <w:instrText xml:space="preserve"> SEQ level0 \*arabic </w:instrText>
      </w:r>
      <w:r w:rsidRPr="00743BEA">
        <w:rPr>
          <w:lang w:val="fr-FR"/>
        </w:rPr>
        <w:fldChar w:fldCharType="separate"/>
      </w:r>
      <w:r w:rsidR="00743BEA">
        <w:rPr>
          <w:noProof/>
          <w:lang w:val="fr-FR"/>
        </w:rPr>
        <w:t>10</w:t>
      </w:r>
      <w:r w:rsidRPr="00743BEA">
        <w:rPr>
          <w:lang w:val="fr-FR"/>
        </w:rPr>
        <w:fldChar w:fldCharType="end"/>
      </w:r>
      <w:r w:rsidRPr="00743BEA">
        <w:rPr>
          <w:lang w:val="fr-FR"/>
        </w:rPr>
        <w:t>.  La Cour rappelle aussi que, dans certaines circonstances, il peut être indiqué de rayer une requête du rôle en vertu de l</w:t>
      </w:r>
      <w:r w:rsidR="00743BEA" w:rsidRPr="00743BEA">
        <w:rPr>
          <w:lang w:val="fr-FR"/>
        </w:rPr>
        <w:t>’</w:t>
      </w:r>
      <w:r w:rsidRPr="00743BEA">
        <w:rPr>
          <w:lang w:val="fr-FR"/>
        </w:rPr>
        <w:t>article 37 § 1 c) sur la base d</w:t>
      </w:r>
      <w:r w:rsidR="00743BEA" w:rsidRPr="00743BEA">
        <w:rPr>
          <w:lang w:val="fr-FR"/>
        </w:rPr>
        <w:t>’</w:t>
      </w:r>
      <w:r w:rsidRPr="00743BEA">
        <w:rPr>
          <w:lang w:val="fr-FR"/>
        </w:rPr>
        <w:t>une déclaration unilatérale du gouvernement défendeur même si le requérant souhaite que l</w:t>
      </w:r>
      <w:r w:rsidR="00743BEA" w:rsidRPr="00743BEA">
        <w:rPr>
          <w:lang w:val="fr-FR"/>
        </w:rPr>
        <w:t>’</w:t>
      </w:r>
      <w:r w:rsidRPr="00743BEA">
        <w:rPr>
          <w:lang w:val="fr-FR"/>
        </w:rPr>
        <w:t>examen de l</w:t>
      </w:r>
      <w:r w:rsidR="00743BEA" w:rsidRPr="00743BEA">
        <w:rPr>
          <w:lang w:val="fr-FR"/>
        </w:rPr>
        <w:t>’</w:t>
      </w:r>
      <w:r w:rsidRPr="00743BEA">
        <w:rPr>
          <w:lang w:val="fr-FR"/>
        </w:rPr>
        <w:t>affaire se poursuive.</w:t>
      </w:r>
    </w:p>
    <w:p w:rsidR="002A24C4" w:rsidRPr="00743BEA" w:rsidRDefault="002A24C4" w:rsidP="00743BEA">
      <w:pPr>
        <w:pStyle w:val="ECHRPara"/>
        <w:keepNext/>
        <w:keepLines/>
        <w:rPr>
          <w:lang w:val="fr-FR"/>
        </w:rPr>
      </w:pPr>
      <w:r w:rsidRPr="00743BEA">
        <w:rPr>
          <w:lang w:val="fr-FR"/>
        </w:rPr>
        <w:fldChar w:fldCharType="begin"/>
      </w:r>
      <w:r w:rsidRPr="00743BEA">
        <w:rPr>
          <w:lang w:val="fr-FR"/>
        </w:rPr>
        <w:instrText xml:space="preserve"> SEQ level0 \*arabic </w:instrText>
      </w:r>
      <w:r w:rsidRPr="00743BEA">
        <w:rPr>
          <w:lang w:val="fr-FR"/>
        </w:rPr>
        <w:fldChar w:fldCharType="separate"/>
      </w:r>
      <w:r w:rsidR="00743BEA">
        <w:rPr>
          <w:noProof/>
          <w:lang w:val="fr-FR"/>
        </w:rPr>
        <w:t>11</w:t>
      </w:r>
      <w:r w:rsidRPr="00743BEA">
        <w:rPr>
          <w:lang w:val="fr-FR"/>
        </w:rPr>
        <w:fldChar w:fldCharType="end"/>
      </w:r>
      <w:r w:rsidRPr="00743BEA">
        <w:rPr>
          <w:lang w:val="fr-FR"/>
        </w:rPr>
        <w:t>.  À</w:t>
      </w:r>
      <w:r w:rsidRPr="00743BEA">
        <w:rPr>
          <w:szCs w:val="24"/>
          <w:lang w:val="fr-FR"/>
        </w:rPr>
        <w:t xml:space="preserve"> cette fin, la Cour a examiné la déclaration à la lumière des principes que consacre sa jurisprudence, en particulier l</w:t>
      </w:r>
      <w:r w:rsidR="00743BEA" w:rsidRPr="00743BEA">
        <w:rPr>
          <w:szCs w:val="24"/>
          <w:lang w:val="fr-FR"/>
        </w:rPr>
        <w:t>’</w:t>
      </w:r>
      <w:r w:rsidRPr="00743BEA">
        <w:rPr>
          <w:szCs w:val="24"/>
          <w:lang w:val="fr-FR"/>
        </w:rPr>
        <w:t xml:space="preserve">arrêt </w:t>
      </w:r>
      <w:proofErr w:type="spellStart"/>
      <w:r w:rsidRPr="00743BEA">
        <w:rPr>
          <w:i/>
          <w:lang w:val="fr-FR"/>
        </w:rPr>
        <w:t>Tahsin</w:t>
      </w:r>
      <w:proofErr w:type="spellEnd"/>
      <w:r w:rsidRPr="00743BEA">
        <w:rPr>
          <w:i/>
          <w:lang w:val="fr-FR"/>
        </w:rPr>
        <w:t xml:space="preserve"> </w:t>
      </w:r>
      <w:proofErr w:type="spellStart"/>
      <w:r w:rsidRPr="00743BEA">
        <w:rPr>
          <w:i/>
          <w:lang w:val="fr-FR"/>
        </w:rPr>
        <w:t>Acar</w:t>
      </w:r>
      <w:proofErr w:type="spellEnd"/>
      <w:r w:rsidRPr="00743BEA">
        <w:rPr>
          <w:i/>
          <w:lang w:val="fr-FR"/>
        </w:rPr>
        <w:t xml:space="preserve"> </w:t>
      </w:r>
      <w:r w:rsidRPr="00743BEA">
        <w:rPr>
          <w:lang w:val="fr-FR"/>
        </w:rPr>
        <w:t>(</w:t>
      </w:r>
      <w:proofErr w:type="spellStart"/>
      <w:r w:rsidRPr="00743BEA">
        <w:rPr>
          <w:i/>
          <w:lang w:val="fr-FR"/>
        </w:rPr>
        <w:t>Tahsin</w:t>
      </w:r>
      <w:proofErr w:type="spellEnd"/>
      <w:r w:rsidRPr="00743BEA">
        <w:rPr>
          <w:i/>
          <w:lang w:val="fr-FR"/>
        </w:rPr>
        <w:t xml:space="preserve"> </w:t>
      </w:r>
      <w:proofErr w:type="spellStart"/>
      <w:r w:rsidRPr="00743BEA">
        <w:rPr>
          <w:i/>
          <w:lang w:val="fr-FR"/>
        </w:rPr>
        <w:t>Acar</w:t>
      </w:r>
      <w:proofErr w:type="spellEnd"/>
      <w:r w:rsidRPr="00743BEA">
        <w:rPr>
          <w:i/>
          <w:lang w:val="fr-FR"/>
        </w:rPr>
        <w:t xml:space="preserve"> c. Turquie</w:t>
      </w:r>
      <w:r w:rsidRPr="00743BEA">
        <w:rPr>
          <w:iCs/>
          <w:lang w:val="fr-FR"/>
        </w:rPr>
        <w:t xml:space="preserve"> (question préliminaire) </w:t>
      </w:r>
      <w:r w:rsidRPr="00743BEA">
        <w:rPr>
          <w:lang w:val="fr-FR"/>
        </w:rPr>
        <w:t>[GC],</w:t>
      </w:r>
      <w:r w:rsidRPr="00743BEA">
        <w:rPr>
          <w:i/>
          <w:lang w:val="fr-FR"/>
        </w:rPr>
        <w:t xml:space="preserve"> </w:t>
      </w:r>
      <w:r w:rsidRPr="00743BEA">
        <w:rPr>
          <w:lang w:val="fr-FR"/>
        </w:rPr>
        <w:t>n</w:t>
      </w:r>
      <w:r w:rsidRPr="00743BEA">
        <w:rPr>
          <w:vertAlign w:val="superscript"/>
          <w:lang w:val="fr-FR"/>
        </w:rPr>
        <w:t xml:space="preserve">o </w:t>
      </w:r>
      <w:r w:rsidRPr="00743BEA">
        <w:rPr>
          <w:lang w:val="fr-FR"/>
        </w:rPr>
        <w:t>26307/95, §§ 75</w:t>
      </w:r>
      <w:r w:rsidRPr="00743BEA">
        <w:rPr>
          <w:lang w:val="fr-FR"/>
        </w:rPr>
        <w:noBreakHyphen/>
        <w:t>77, CEDH 2003</w:t>
      </w:r>
      <w:r w:rsidRPr="00743BEA">
        <w:rPr>
          <w:lang w:val="fr-FR"/>
        </w:rPr>
        <w:noBreakHyphen/>
        <w:t xml:space="preserve">VI, </w:t>
      </w:r>
      <w:r w:rsidRPr="00743BEA">
        <w:rPr>
          <w:i/>
          <w:szCs w:val="24"/>
          <w:lang w:val="fr-FR"/>
        </w:rPr>
        <w:t xml:space="preserve">WAZA </w:t>
      </w:r>
      <w:proofErr w:type="spellStart"/>
      <w:r w:rsidRPr="00743BEA">
        <w:rPr>
          <w:i/>
          <w:iCs/>
          <w:szCs w:val="24"/>
          <w:lang w:val="fr-FR"/>
        </w:rPr>
        <w:t>Sp</w:t>
      </w:r>
      <w:proofErr w:type="spellEnd"/>
      <w:r w:rsidRPr="00743BEA">
        <w:rPr>
          <w:i/>
          <w:iCs/>
          <w:szCs w:val="24"/>
          <w:lang w:val="fr-FR"/>
        </w:rPr>
        <w:t xml:space="preserve">. z </w:t>
      </w:r>
      <w:proofErr w:type="spellStart"/>
      <w:r w:rsidRPr="00743BEA">
        <w:rPr>
          <w:i/>
          <w:iCs/>
          <w:szCs w:val="24"/>
          <w:lang w:val="fr-FR"/>
        </w:rPr>
        <w:t>o.o</w:t>
      </w:r>
      <w:proofErr w:type="spellEnd"/>
      <w:r w:rsidRPr="00743BEA">
        <w:rPr>
          <w:i/>
          <w:iCs/>
          <w:szCs w:val="24"/>
          <w:lang w:val="fr-FR"/>
        </w:rPr>
        <w:t>.</w:t>
      </w:r>
      <w:r w:rsidRPr="00743BEA">
        <w:rPr>
          <w:i/>
          <w:szCs w:val="24"/>
          <w:lang w:val="fr-FR"/>
        </w:rPr>
        <w:t xml:space="preserve"> c. Pologne </w:t>
      </w:r>
      <w:r w:rsidRPr="00743BEA">
        <w:rPr>
          <w:szCs w:val="24"/>
          <w:lang w:val="fr-FR"/>
        </w:rPr>
        <w:t>(déc.), n</w:t>
      </w:r>
      <w:r w:rsidRPr="00743BEA">
        <w:rPr>
          <w:szCs w:val="24"/>
          <w:vertAlign w:val="superscript"/>
          <w:lang w:val="fr-FR"/>
        </w:rPr>
        <w:t>o</w:t>
      </w:r>
      <w:r w:rsidRPr="00743BEA">
        <w:rPr>
          <w:szCs w:val="24"/>
          <w:lang w:val="fr-FR"/>
        </w:rPr>
        <w:t xml:space="preserve"> 11602/02, 26 juin 2007, et </w:t>
      </w:r>
      <w:proofErr w:type="spellStart"/>
      <w:r w:rsidRPr="00743BEA">
        <w:rPr>
          <w:i/>
          <w:szCs w:val="24"/>
          <w:lang w:val="fr-FR"/>
        </w:rPr>
        <w:t>Sulwińska</w:t>
      </w:r>
      <w:proofErr w:type="spellEnd"/>
      <w:r w:rsidRPr="00743BEA">
        <w:rPr>
          <w:i/>
          <w:szCs w:val="24"/>
          <w:lang w:val="fr-FR"/>
        </w:rPr>
        <w:t xml:space="preserve"> c. Pologne</w:t>
      </w:r>
      <w:r w:rsidRPr="00743BEA">
        <w:rPr>
          <w:szCs w:val="24"/>
          <w:lang w:val="fr-FR"/>
        </w:rPr>
        <w:t xml:space="preserve"> (déc.), n</w:t>
      </w:r>
      <w:r w:rsidRPr="00743BEA">
        <w:rPr>
          <w:szCs w:val="24"/>
          <w:vertAlign w:val="superscript"/>
          <w:lang w:val="fr-FR"/>
        </w:rPr>
        <w:t>o</w:t>
      </w:r>
      <w:r w:rsidRPr="00743BEA">
        <w:rPr>
          <w:szCs w:val="24"/>
          <w:lang w:val="fr-FR"/>
        </w:rPr>
        <w:t xml:space="preserve"> 28953/03, 18 septembre 2007</w:t>
      </w:r>
      <w:r w:rsidRPr="00743BEA">
        <w:rPr>
          <w:lang w:val="fr-FR"/>
        </w:rPr>
        <w:t>).</w:t>
      </w:r>
    </w:p>
    <w:p w:rsidR="002A24C4" w:rsidRPr="00743BEA" w:rsidRDefault="002A24C4" w:rsidP="00743BEA">
      <w:pPr>
        <w:pStyle w:val="ECHRPara"/>
        <w:rPr>
          <w:rFonts w:eastAsiaTheme="minorHAnsi"/>
          <w:lang w:val="fr-FR"/>
        </w:rPr>
      </w:pPr>
      <w:r w:rsidRPr="00743BEA">
        <w:rPr>
          <w:rFonts w:eastAsiaTheme="minorHAnsi"/>
          <w:lang w:val="fr-FR"/>
        </w:rPr>
        <w:fldChar w:fldCharType="begin"/>
      </w:r>
      <w:r w:rsidRPr="00743BEA">
        <w:rPr>
          <w:rFonts w:eastAsiaTheme="minorHAnsi"/>
          <w:lang w:val="fr-FR"/>
        </w:rPr>
        <w:instrText xml:space="preserve"> SEQ level0 \*arabic </w:instrText>
      </w:r>
      <w:r w:rsidRPr="00743BEA">
        <w:rPr>
          <w:rFonts w:eastAsiaTheme="minorHAnsi"/>
          <w:lang w:val="fr-FR"/>
        </w:rPr>
        <w:fldChar w:fldCharType="separate"/>
      </w:r>
      <w:r w:rsidR="00743BEA">
        <w:rPr>
          <w:rFonts w:eastAsiaTheme="minorHAnsi"/>
          <w:noProof/>
          <w:lang w:val="fr-FR"/>
        </w:rPr>
        <w:t>12</w:t>
      </w:r>
      <w:r w:rsidRPr="00743BEA">
        <w:rPr>
          <w:rFonts w:eastAsiaTheme="minorHAnsi"/>
          <w:lang w:val="fr-FR"/>
        </w:rPr>
        <w:fldChar w:fldCharType="end"/>
      </w:r>
      <w:r w:rsidRPr="00743BEA">
        <w:rPr>
          <w:rFonts w:eastAsiaTheme="minorHAnsi"/>
          <w:lang w:val="fr-FR"/>
        </w:rPr>
        <w:t>.  </w:t>
      </w:r>
      <w:proofErr w:type="gramStart"/>
      <w:r w:rsidRPr="00743BEA">
        <w:rPr>
          <w:rFonts w:eastAsiaTheme="minorHAnsi"/>
          <w:lang w:val="fr-FR"/>
        </w:rPr>
        <w:t>Eu égard à la nature des concessions que renferme la déclaration du Gouvernement, ainsi qu</w:t>
      </w:r>
      <w:r w:rsidR="00743BEA" w:rsidRPr="00743BEA">
        <w:rPr>
          <w:rFonts w:eastAsiaTheme="minorHAnsi"/>
          <w:lang w:val="fr-FR"/>
        </w:rPr>
        <w:t>’</w:t>
      </w:r>
      <w:r w:rsidRPr="00743BEA">
        <w:rPr>
          <w:rFonts w:eastAsiaTheme="minorHAnsi"/>
          <w:lang w:val="fr-FR"/>
        </w:rPr>
        <w:t>au montant de l</w:t>
      </w:r>
      <w:r w:rsidR="00743BEA" w:rsidRPr="00743BEA">
        <w:rPr>
          <w:rFonts w:eastAsiaTheme="minorHAnsi"/>
          <w:lang w:val="fr-FR"/>
        </w:rPr>
        <w:t>’</w:t>
      </w:r>
      <w:r w:rsidRPr="00743BEA">
        <w:rPr>
          <w:rFonts w:eastAsiaTheme="minorHAnsi"/>
          <w:lang w:val="fr-FR"/>
        </w:rPr>
        <w:t xml:space="preserve">indemnisation proposée – qui est conforme aux montants alloués dans plusieurs affaires similaires </w:t>
      </w:r>
      <w:r w:rsidRPr="00743BEA">
        <w:rPr>
          <w:lang w:val="fr-FR"/>
        </w:rPr>
        <w:t>(</w:t>
      </w:r>
      <w:r w:rsidRPr="00743BEA">
        <w:rPr>
          <w:i/>
          <w:iCs/>
          <w:lang w:val="fr-FR"/>
        </w:rPr>
        <w:t>Piazzi c. Italie</w:t>
      </w:r>
      <w:r w:rsidRPr="00743BEA">
        <w:rPr>
          <w:lang w:val="fr-FR"/>
        </w:rPr>
        <w:t>, n</w:t>
      </w:r>
      <w:r w:rsidRPr="00743BEA">
        <w:rPr>
          <w:vertAlign w:val="superscript"/>
          <w:lang w:val="fr-FR"/>
        </w:rPr>
        <w:t>o</w:t>
      </w:r>
      <w:r w:rsidRPr="00743BEA">
        <w:rPr>
          <w:lang w:val="fr-FR"/>
        </w:rPr>
        <w:t xml:space="preserve"> 36168/09, 2 novembre 2010, </w:t>
      </w:r>
      <w:r w:rsidRPr="00743BEA">
        <w:rPr>
          <w:i/>
          <w:iCs/>
          <w:lang w:val="fr-FR"/>
        </w:rPr>
        <w:t>Lombardo c. Italie</w:t>
      </w:r>
      <w:r w:rsidRPr="00743BEA">
        <w:rPr>
          <w:lang w:val="fr-FR"/>
        </w:rPr>
        <w:t>, n</w:t>
      </w:r>
      <w:r w:rsidRPr="00743BEA">
        <w:rPr>
          <w:vertAlign w:val="superscript"/>
          <w:lang w:val="fr-FR"/>
        </w:rPr>
        <w:t>o</w:t>
      </w:r>
      <w:r w:rsidRPr="00743BEA">
        <w:rPr>
          <w:lang w:val="fr-FR"/>
        </w:rPr>
        <w:t xml:space="preserve"> 25704/11, 29 janvier 2013, </w:t>
      </w:r>
      <w:proofErr w:type="spellStart"/>
      <w:r w:rsidRPr="00743BEA">
        <w:rPr>
          <w:i/>
          <w:iCs/>
          <w:lang w:val="fr-FR"/>
        </w:rPr>
        <w:t>Nicolò</w:t>
      </w:r>
      <w:proofErr w:type="spellEnd"/>
      <w:r w:rsidRPr="00743BEA">
        <w:rPr>
          <w:i/>
          <w:iCs/>
          <w:lang w:val="fr-FR"/>
        </w:rPr>
        <w:t xml:space="preserve"> </w:t>
      </w:r>
      <w:proofErr w:type="spellStart"/>
      <w:r w:rsidRPr="00743BEA">
        <w:rPr>
          <w:i/>
          <w:iCs/>
          <w:lang w:val="fr-FR"/>
        </w:rPr>
        <w:t>Santilli</w:t>
      </w:r>
      <w:proofErr w:type="spellEnd"/>
      <w:r w:rsidRPr="00743BEA">
        <w:rPr>
          <w:lang w:val="fr-FR"/>
        </w:rPr>
        <w:t xml:space="preserve"> </w:t>
      </w:r>
      <w:r w:rsidRPr="00743BEA">
        <w:rPr>
          <w:i/>
          <w:lang w:val="fr-FR"/>
        </w:rPr>
        <w:t>c. Italie</w:t>
      </w:r>
      <w:r w:rsidRPr="00743BEA">
        <w:rPr>
          <w:lang w:val="fr-FR"/>
        </w:rPr>
        <w:t>, n</w:t>
      </w:r>
      <w:r w:rsidRPr="00743BEA">
        <w:rPr>
          <w:vertAlign w:val="superscript"/>
          <w:lang w:val="fr-FR"/>
        </w:rPr>
        <w:t>o</w:t>
      </w:r>
      <w:r w:rsidRPr="00743BEA">
        <w:rPr>
          <w:lang w:val="fr-FR"/>
        </w:rPr>
        <w:t xml:space="preserve"> 51930/10, 17 décembre 2013,</w:t>
      </w:r>
      <w:r w:rsidRPr="00743BEA">
        <w:rPr>
          <w:i/>
          <w:iCs/>
          <w:lang w:val="fr-FR"/>
        </w:rPr>
        <w:t xml:space="preserve"> </w:t>
      </w:r>
      <w:proofErr w:type="spellStart"/>
      <w:r w:rsidRPr="00743BEA">
        <w:rPr>
          <w:i/>
          <w:iCs/>
          <w:lang w:val="fr-FR"/>
        </w:rPr>
        <w:t>Bondavalli</w:t>
      </w:r>
      <w:proofErr w:type="spellEnd"/>
      <w:r w:rsidRPr="00743BEA">
        <w:rPr>
          <w:i/>
          <w:iCs/>
          <w:lang w:val="fr-FR"/>
        </w:rPr>
        <w:t xml:space="preserve"> c. Italie</w:t>
      </w:r>
      <w:r w:rsidRPr="00743BEA">
        <w:rPr>
          <w:lang w:val="fr-FR"/>
        </w:rPr>
        <w:t>, n</w:t>
      </w:r>
      <w:r w:rsidRPr="00743BEA">
        <w:rPr>
          <w:vertAlign w:val="superscript"/>
          <w:lang w:val="fr-FR"/>
        </w:rPr>
        <w:t>o</w:t>
      </w:r>
      <w:r w:rsidRPr="00743BEA">
        <w:rPr>
          <w:lang w:val="fr-FR"/>
        </w:rPr>
        <w:t xml:space="preserve"> 35532/12, 17 novembre 2015, </w:t>
      </w:r>
      <w:proofErr w:type="spellStart"/>
      <w:r w:rsidRPr="00743BEA">
        <w:rPr>
          <w:i/>
          <w:iCs/>
          <w:lang w:val="fr-FR"/>
        </w:rPr>
        <w:t>Strumia</w:t>
      </w:r>
      <w:proofErr w:type="spellEnd"/>
      <w:r w:rsidRPr="00743BEA">
        <w:rPr>
          <w:i/>
          <w:iCs/>
          <w:lang w:val="fr-FR"/>
        </w:rPr>
        <w:t xml:space="preserve"> c. Italie</w:t>
      </w:r>
      <w:r w:rsidRPr="00743BEA">
        <w:rPr>
          <w:lang w:val="fr-FR"/>
        </w:rPr>
        <w:t>, n</w:t>
      </w:r>
      <w:r w:rsidRPr="00743BEA">
        <w:rPr>
          <w:vertAlign w:val="superscript"/>
          <w:lang w:val="fr-FR"/>
        </w:rPr>
        <w:t>o</w:t>
      </w:r>
      <w:r w:rsidRPr="00743BEA">
        <w:rPr>
          <w:lang w:val="fr-FR"/>
        </w:rPr>
        <w:t xml:space="preserve"> 53377/13, 23 juin 2016, </w:t>
      </w:r>
      <w:proofErr w:type="spellStart"/>
      <w:r w:rsidRPr="00743BEA">
        <w:rPr>
          <w:i/>
          <w:iCs/>
          <w:lang w:val="fr-FR"/>
        </w:rPr>
        <w:t>Giorgioni</w:t>
      </w:r>
      <w:proofErr w:type="spellEnd"/>
      <w:r w:rsidRPr="00743BEA">
        <w:rPr>
          <w:i/>
          <w:iCs/>
          <w:lang w:val="fr-FR"/>
        </w:rPr>
        <w:t xml:space="preserve"> c. Italie</w:t>
      </w:r>
      <w:r w:rsidRPr="00743BEA">
        <w:rPr>
          <w:lang w:val="fr-FR"/>
        </w:rPr>
        <w:t>, n</w:t>
      </w:r>
      <w:r w:rsidRPr="00743BEA">
        <w:rPr>
          <w:vertAlign w:val="superscript"/>
          <w:lang w:val="fr-FR"/>
        </w:rPr>
        <w:t>o</w:t>
      </w:r>
      <w:r w:rsidRPr="00743BEA">
        <w:rPr>
          <w:lang w:val="fr-FR"/>
        </w:rPr>
        <w:t xml:space="preserve"> 43299/12, 15 septembre 2016, </w:t>
      </w:r>
      <w:proofErr w:type="spellStart"/>
      <w:r w:rsidRPr="00743BEA">
        <w:rPr>
          <w:i/>
          <w:iCs/>
          <w:lang w:val="fr-FR"/>
        </w:rPr>
        <w:t>Solarino</w:t>
      </w:r>
      <w:proofErr w:type="spellEnd"/>
      <w:r w:rsidRPr="00743BEA">
        <w:rPr>
          <w:i/>
          <w:iCs/>
          <w:lang w:val="fr-FR"/>
        </w:rPr>
        <w:t xml:space="preserve"> c. Italie</w:t>
      </w:r>
      <w:r w:rsidRPr="00743BEA">
        <w:rPr>
          <w:lang w:val="fr-FR"/>
        </w:rPr>
        <w:t>, n</w:t>
      </w:r>
      <w:r w:rsidRPr="00743BEA">
        <w:rPr>
          <w:vertAlign w:val="superscript"/>
          <w:lang w:val="fr-FR"/>
        </w:rPr>
        <w:t>o</w:t>
      </w:r>
      <w:r w:rsidRPr="00743BEA">
        <w:rPr>
          <w:lang w:val="fr-FR"/>
        </w:rPr>
        <w:t xml:space="preserve"> 76171/13, 9 février 2017, et </w:t>
      </w:r>
      <w:proofErr w:type="spellStart"/>
      <w:r w:rsidRPr="00743BEA">
        <w:rPr>
          <w:i/>
          <w:iCs/>
          <w:lang w:val="fr-FR"/>
        </w:rPr>
        <w:t>Endrizzi</w:t>
      </w:r>
      <w:proofErr w:type="spellEnd"/>
      <w:r w:rsidRPr="00743BEA">
        <w:rPr>
          <w:i/>
          <w:iCs/>
          <w:lang w:val="fr-FR"/>
        </w:rPr>
        <w:t xml:space="preserve"> c. Italie</w:t>
      </w:r>
      <w:r w:rsidRPr="00743BEA">
        <w:rPr>
          <w:lang w:val="fr-FR"/>
        </w:rPr>
        <w:t>, n</w:t>
      </w:r>
      <w:r w:rsidRPr="00743BEA">
        <w:rPr>
          <w:vertAlign w:val="superscript"/>
          <w:lang w:val="fr-FR"/>
        </w:rPr>
        <w:t>o</w:t>
      </w:r>
      <w:r w:rsidRPr="00743BEA">
        <w:rPr>
          <w:lang w:val="fr-FR"/>
        </w:rPr>
        <w:t> 71660/14, 23 mars 2017)</w:t>
      </w:r>
      <w:r w:rsidRPr="00743BEA">
        <w:rPr>
          <w:rFonts w:eastAsiaTheme="minorHAnsi"/>
          <w:lang w:val="fr-FR"/>
        </w:rPr>
        <w:t>, – la Cour estime qu</w:t>
      </w:r>
      <w:r w:rsidR="00743BEA" w:rsidRPr="00743BEA">
        <w:rPr>
          <w:rFonts w:eastAsiaTheme="minorHAnsi"/>
          <w:lang w:val="fr-FR"/>
        </w:rPr>
        <w:t>’</w:t>
      </w:r>
      <w:r w:rsidRPr="00743BEA">
        <w:rPr>
          <w:rFonts w:eastAsiaTheme="minorHAnsi"/>
          <w:lang w:val="fr-FR"/>
        </w:rPr>
        <w:t>il ne se justifie plus de poursuivre l</w:t>
      </w:r>
      <w:r w:rsidR="00743BEA" w:rsidRPr="00743BEA">
        <w:rPr>
          <w:rFonts w:eastAsiaTheme="minorHAnsi"/>
          <w:lang w:val="fr-FR"/>
        </w:rPr>
        <w:t>’</w:t>
      </w:r>
      <w:r w:rsidRPr="00743BEA">
        <w:rPr>
          <w:rFonts w:eastAsiaTheme="minorHAnsi"/>
          <w:lang w:val="fr-FR"/>
        </w:rPr>
        <w:t>examen de la requête (article 37 § 1 c)).</w:t>
      </w:r>
      <w:proofErr w:type="gramEnd"/>
    </w:p>
    <w:p w:rsidR="002A24C4" w:rsidRPr="00743BEA" w:rsidRDefault="002A24C4" w:rsidP="00743BEA">
      <w:pPr>
        <w:pStyle w:val="ECHRPara"/>
        <w:rPr>
          <w:lang w:val="fr-FR"/>
        </w:rPr>
      </w:pPr>
      <w:r w:rsidRPr="00743BEA">
        <w:rPr>
          <w:rFonts w:ascii="Times New Roman" w:eastAsiaTheme="minorHAnsi" w:hAnsi="Times New Roman" w:cs="Times New Roman"/>
          <w:color w:val="000000"/>
          <w:szCs w:val="24"/>
          <w:lang w:val="fr-FR"/>
        </w:rPr>
        <w:fldChar w:fldCharType="begin"/>
      </w:r>
      <w:r w:rsidRPr="00743BEA">
        <w:rPr>
          <w:rFonts w:ascii="Times New Roman" w:eastAsiaTheme="minorHAnsi" w:hAnsi="Times New Roman" w:cs="Times New Roman"/>
          <w:color w:val="000000"/>
          <w:szCs w:val="24"/>
          <w:lang w:val="fr-FR"/>
        </w:rPr>
        <w:instrText xml:space="preserve"> SEQ level0 \*arabic </w:instrText>
      </w:r>
      <w:r w:rsidRPr="00743BEA">
        <w:rPr>
          <w:rFonts w:ascii="Times New Roman" w:eastAsiaTheme="minorHAnsi" w:hAnsi="Times New Roman" w:cs="Times New Roman"/>
          <w:color w:val="000000"/>
          <w:szCs w:val="24"/>
          <w:lang w:val="fr-FR"/>
        </w:rPr>
        <w:fldChar w:fldCharType="separate"/>
      </w:r>
      <w:r w:rsidR="00743BEA">
        <w:rPr>
          <w:rFonts w:ascii="Times New Roman" w:eastAsiaTheme="minorHAnsi" w:hAnsi="Times New Roman" w:cs="Times New Roman"/>
          <w:noProof/>
          <w:color w:val="000000"/>
          <w:szCs w:val="24"/>
          <w:lang w:val="fr-FR"/>
        </w:rPr>
        <w:t>13</w:t>
      </w:r>
      <w:r w:rsidRPr="00743BEA">
        <w:rPr>
          <w:rFonts w:ascii="Times New Roman" w:eastAsiaTheme="minorHAnsi" w:hAnsi="Times New Roman" w:cs="Times New Roman"/>
          <w:color w:val="000000"/>
          <w:szCs w:val="24"/>
          <w:lang w:val="fr-FR"/>
        </w:rPr>
        <w:fldChar w:fldCharType="end"/>
      </w:r>
      <w:r w:rsidRPr="00743BEA">
        <w:rPr>
          <w:rFonts w:ascii="Times New Roman" w:eastAsiaTheme="minorHAnsi" w:hAnsi="Times New Roman" w:cs="Times New Roman"/>
          <w:color w:val="000000"/>
          <w:szCs w:val="24"/>
          <w:lang w:val="fr-FR"/>
        </w:rPr>
        <w:t>.  En outre, à la lumière des considérations qui précèdent, et eu égard en particulier à sa jurisprudence claire à ce sujet, la Cour estime que le respect des droits de l</w:t>
      </w:r>
      <w:r w:rsidR="00743BEA" w:rsidRPr="00743BEA">
        <w:rPr>
          <w:rFonts w:ascii="Times New Roman" w:eastAsiaTheme="minorHAnsi" w:hAnsi="Times New Roman" w:cs="Times New Roman"/>
          <w:color w:val="000000"/>
          <w:szCs w:val="24"/>
          <w:lang w:val="fr-FR"/>
        </w:rPr>
        <w:t>’</w:t>
      </w:r>
      <w:r w:rsidRPr="00743BEA">
        <w:rPr>
          <w:rFonts w:ascii="Times New Roman" w:eastAsiaTheme="minorHAnsi" w:hAnsi="Times New Roman" w:cs="Times New Roman"/>
          <w:color w:val="000000"/>
          <w:szCs w:val="24"/>
          <w:lang w:val="fr-FR"/>
        </w:rPr>
        <w:t>homme garantis par la Convention et ses Protocoles n</w:t>
      </w:r>
      <w:r w:rsidR="00743BEA" w:rsidRPr="00743BEA">
        <w:rPr>
          <w:rFonts w:ascii="Times New Roman" w:eastAsiaTheme="minorHAnsi" w:hAnsi="Times New Roman" w:cs="Times New Roman"/>
          <w:color w:val="000000"/>
          <w:szCs w:val="24"/>
          <w:lang w:val="fr-FR"/>
        </w:rPr>
        <w:t>’</w:t>
      </w:r>
      <w:r w:rsidRPr="00743BEA">
        <w:rPr>
          <w:rFonts w:ascii="Times New Roman" w:eastAsiaTheme="minorHAnsi" w:hAnsi="Times New Roman" w:cs="Times New Roman"/>
          <w:color w:val="000000"/>
          <w:szCs w:val="24"/>
          <w:lang w:val="fr-FR"/>
        </w:rPr>
        <w:t>exige pas qu</w:t>
      </w:r>
      <w:r w:rsidR="00743BEA" w:rsidRPr="00743BEA">
        <w:rPr>
          <w:rFonts w:ascii="Times New Roman" w:eastAsiaTheme="minorHAnsi" w:hAnsi="Times New Roman" w:cs="Times New Roman"/>
          <w:color w:val="000000"/>
          <w:szCs w:val="24"/>
          <w:lang w:val="fr-FR"/>
        </w:rPr>
        <w:t>’</w:t>
      </w:r>
      <w:r w:rsidRPr="00743BEA">
        <w:rPr>
          <w:rFonts w:ascii="Times New Roman" w:eastAsiaTheme="minorHAnsi" w:hAnsi="Times New Roman" w:cs="Times New Roman"/>
          <w:color w:val="000000"/>
          <w:szCs w:val="24"/>
          <w:lang w:val="fr-FR"/>
        </w:rPr>
        <w:t>elle poursuive l</w:t>
      </w:r>
      <w:r w:rsidR="00743BEA" w:rsidRPr="00743BEA">
        <w:rPr>
          <w:rFonts w:ascii="Times New Roman" w:eastAsiaTheme="minorHAnsi" w:hAnsi="Times New Roman" w:cs="Times New Roman"/>
          <w:color w:val="000000"/>
          <w:szCs w:val="24"/>
          <w:lang w:val="fr-FR"/>
        </w:rPr>
        <w:t>’</w:t>
      </w:r>
      <w:r w:rsidRPr="00743BEA">
        <w:rPr>
          <w:rFonts w:ascii="Times New Roman" w:eastAsiaTheme="minorHAnsi" w:hAnsi="Times New Roman" w:cs="Times New Roman"/>
          <w:color w:val="000000"/>
          <w:szCs w:val="24"/>
          <w:lang w:val="fr-FR"/>
        </w:rPr>
        <w:t xml:space="preserve">examen de la requête (article 37 § 1 </w:t>
      </w:r>
      <w:r w:rsidRPr="00743BEA">
        <w:rPr>
          <w:rFonts w:ascii="Times New Roman" w:eastAsiaTheme="minorHAnsi" w:hAnsi="Times New Roman" w:cs="Times New Roman"/>
          <w:i/>
          <w:iCs/>
          <w:color w:val="000000"/>
          <w:szCs w:val="24"/>
          <w:lang w:val="fr-FR"/>
        </w:rPr>
        <w:t>in fine</w:t>
      </w:r>
      <w:r w:rsidRPr="00743BEA">
        <w:rPr>
          <w:rFonts w:ascii="Times New Roman" w:eastAsiaTheme="minorHAnsi" w:hAnsi="Times New Roman" w:cs="Times New Roman"/>
          <w:color w:val="000000"/>
          <w:szCs w:val="24"/>
          <w:lang w:val="fr-FR"/>
        </w:rPr>
        <w:t>).</w:t>
      </w:r>
    </w:p>
    <w:p w:rsidR="002A24C4" w:rsidRPr="00743BEA" w:rsidRDefault="002A24C4" w:rsidP="00743BEA">
      <w:pPr>
        <w:pStyle w:val="ECHRPara"/>
        <w:rPr>
          <w:lang w:val="fr-FR"/>
        </w:rPr>
      </w:pPr>
      <w:r w:rsidRPr="00743BEA">
        <w:rPr>
          <w:lang w:val="fr-FR"/>
        </w:rPr>
        <w:fldChar w:fldCharType="begin"/>
      </w:r>
      <w:r w:rsidRPr="00743BEA">
        <w:rPr>
          <w:lang w:val="fr-FR"/>
        </w:rPr>
        <w:instrText xml:space="preserve"> SEQ level0 \*arabic </w:instrText>
      </w:r>
      <w:r w:rsidRPr="00743BEA">
        <w:rPr>
          <w:lang w:val="fr-FR"/>
        </w:rPr>
        <w:fldChar w:fldCharType="separate"/>
      </w:r>
      <w:r w:rsidR="00743BEA">
        <w:rPr>
          <w:noProof/>
          <w:lang w:val="fr-FR"/>
        </w:rPr>
        <w:t>14</w:t>
      </w:r>
      <w:r w:rsidRPr="00743BEA">
        <w:rPr>
          <w:lang w:val="fr-FR"/>
        </w:rPr>
        <w:fldChar w:fldCharType="end"/>
      </w:r>
      <w:r w:rsidRPr="00743BEA">
        <w:rPr>
          <w:lang w:val="fr-FR"/>
        </w:rPr>
        <w:t>.  Enfin, la Cour souligne que, dans le cas où le Gouvernement ne respecterait pas les termes de sa déclaration unilatérale, la requête pourrait être réinscrite au rôle en vertu de l</w:t>
      </w:r>
      <w:r w:rsidR="00743BEA" w:rsidRPr="00743BEA">
        <w:rPr>
          <w:lang w:val="fr-FR"/>
        </w:rPr>
        <w:t>’</w:t>
      </w:r>
      <w:r w:rsidRPr="00743BEA">
        <w:rPr>
          <w:lang w:val="fr-FR"/>
        </w:rPr>
        <w:t>article 37 § 2 de la Convention (</w:t>
      </w:r>
      <w:proofErr w:type="spellStart"/>
      <w:r w:rsidRPr="00743BEA">
        <w:rPr>
          <w:i/>
          <w:lang w:val="fr-FR"/>
        </w:rPr>
        <w:t>Josipović</w:t>
      </w:r>
      <w:proofErr w:type="spellEnd"/>
      <w:r w:rsidRPr="00743BEA">
        <w:rPr>
          <w:i/>
          <w:lang w:val="fr-FR"/>
        </w:rPr>
        <w:t xml:space="preserve"> c. Serbie</w:t>
      </w:r>
      <w:r w:rsidRPr="00743BEA">
        <w:rPr>
          <w:lang w:val="fr-FR"/>
        </w:rPr>
        <w:t xml:space="preserve"> (déc.), nº 18369/07, 4 mars 2008).</w:t>
      </w:r>
    </w:p>
    <w:p w:rsidR="002A24C4" w:rsidRPr="00743BEA" w:rsidRDefault="002A24C4" w:rsidP="00743BEA">
      <w:pPr>
        <w:pStyle w:val="ECHRPara"/>
        <w:rPr>
          <w:lang w:val="fr-FR"/>
        </w:rPr>
      </w:pPr>
      <w:r w:rsidRPr="00743BEA">
        <w:rPr>
          <w:lang w:val="fr-FR"/>
        </w:rPr>
        <w:fldChar w:fldCharType="begin"/>
      </w:r>
      <w:r w:rsidRPr="00743BEA">
        <w:rPr>
          <w:lang w:val="fr-FR"/>
        </w:rPr>
        <w:instrText xml:space="preserve"> SEQ level0 \*arabic </w:instrText>
      </w:r>
      <w:r w:rsidRPr="00743BEA">
        <w:rPr>
          <w:lang w:val="fr-FR"/>
        </w:rPr>
        <w:fldChar w:fldCharType="separate"/>
      </w:r>
      <w:r w:rsidR="00743BEA">
        <w:rPr>
          <w:noProof/>
          <w:lang w:val="fr-FR"/>
        </w:rPr>
        <w:t>15</w:t>
      </w:r>
      <w:r w:rsidRPr="00743BEA">
        <w:rPr>
          <w:lang w:val="fr-FR"/>
        </w:rPr>
        <w:fldChar w:fldCharType="end"/>
      </w:r>
      <w:r w:rsidRPr="00743BEA">
        <w:rPr>
          <w:lang w:val="fr-FR"/>
        </w:rPr>
        <w:t>.  En conséquence, il convient de rayer l</w:t>
      </w:r>
      <w:r w:rsidR="00743BEA" w:rsidRPr="00743BEA">
        <w:rPr>
          <w:lang w:val="fr-FR"/>
        </w:rPr>
        <w:t>’</w:t>
      </w:r>
      <w:r w:rsidRPr="00743BEA">
        <w:rPr>
          <w:lang w:val="fr-FR"/>
        </w:rPr>
        <w:t>affaire du rôle.</w:t>
      </w:r>
    </w:p>
    <w:p w:rsidR="002A24C4" w:rsidRPr="00743BEA" w:rsidRDefault="002A24C4" w:rsidP="00743BEA">
      <w:pPr>
        <w:pStyle w:val="ECHRHeading2"/>
        <w:rPr>
          <w:rFonts w:eastAsia="Times New Roman"/>
          <w:lang w:val="fr-FR"/>
        </w:rPr>
      </w:pPr>
      <w:r w:rsidRPr="00743BEA">
        <w:rPr>
          <w:rFonts w:eastAsia="Times New Roman"/>
          <w:lang w:val="fr-FR"/>
        </w:rPr>
        <w:t>B.</w:t>
      </w:r>
      <w:proofErr w:type="gramStart"/>
      <w:r w:rsidRPr="00743BEA">
        <w:rPr>
          <w:rFonts w:eastAsia="Times New Roman"/>
          <w:lang w:val="fr-FR"/>
        </w:rPr>
        <w:t>  Sur</w:t>
      </w:r>
      <w:proofErr w:type="gramEnd"/>
      <w:r w:rsidRPr="00743BEA">
        <w:rPr>
          <w:rFonts w:eastAsia="Times New Roman"/>
          <w:lang w:val="fr-FR"/>
        </w:rPr>
        <w:t xml:space="preserve"> l</w:t>
      </w:r>
      <w:r w:rsidR="00743BEA" w:rsidRPr="00743BEA">
        <w:rPr>
          <w:rFonts w:eastAsia="Times New Roman"/>
          <w:lang w:val="fr-FR"/>
        </w:rPr>
        <w:t>’</w:t>
      </w:r>
      <w:r w:rsidRPr="00743BEA">
        <w:rPr>
          <w:rFonts w:eastAsia="Times New Roman"/>
          <w:lang w:val="fr-FR"/>
        </w:rPr>
        <w:t>application de l</w:t>
      </w:r>
      <w:r w:rsidR="00743BEA" w:rsidRPr="00743BEA">
        <w:rPr>
          <w:rFonts w:eastAsia="Times New Roman"/>
          <w:lang w:val="fr-FR"/>
        </w:rPr>
        <w:t>’</w:t>
      </w:r>
      <w:r w:rsidRPr="00743BEA">
        <w:rPr>
          <w:rFonts w:eastAsia="Times New Roman"/>
          <w:lang w:val="fr-FR"/>
        </w:rPr>
        <w:t>article 43 § 4 du règlement de la Cour</w:t>
      </w:r>
    </w:p>
    <w:p w:rsidR="002A24C4" w:rsidRPr="00743BEA" w:rsidRDefault="002A24C4" w:rsidP="00743BEA">
      <w:pPr>
        <w:pStyle w:val="ECHRPara"/>
        <w:rPr>
          <w:rFonts w:eastAsia="Times New Roman"/>
          <w:lang w:val="fr-FR"/>
        </w:rPr>
      </w:pPr>
      <w:r w:rsidRPr="00743BEA">
        <w:rPr>
          <w:rFonts w:eastAsia="Times New Roman"/>
          <w:lang w:val="fr-FR"/>
        </w:rPr>
        <w:fldChar w:fldCharType="begin"/>
      </w:r>
      <w:r w:rsidRPr="00743BEA">
        <w:rPr>
          <w:rFonts w:eastAsia="Times New Roman"/>
          <w:lang w:val="fr-FR"/>
        </w:rPr>
        <w:instrText xml:space="preserve"> SEQ level0 \*arabic </w:instrText>
      </w:r>
      <w:r w:rsidRPr="00743BEA">
        <w:rPr>
          <w:rFonts w:eastAsia="Times New Roman"/>
          <w:lang w:val="fr-FR"/>
        </w:rPr>
        <w:fldChar w:fldCharType="separate"/>
      </w:r>
      <w:r w:rsidR="00743BEA">
        <w:rPr>
          <w:rFonts w:eastAsia="Times New Roman"/>
          <w:noProof/>
          <w:lang w:val="fr-FR"/>
        </w:rPr>
        <w:t>16</w:t>
      </w:r>
      <w:r w:rsidRPr="00743BEA">
        <w:rPr>
          <w:rFonts w:eastAsia="Times New Roman"/>
          <w:lang w:val="fr-FR"/>
        </w:rPr>
        <w:fldChar w:fldCharType="end"/>
      </w:r>
      <w:r w:rsidRPr="00743BEA">
        <w:rPr>
          <w:rFonts w:eastAsia="Times New Roman"/>
          <w:lang w:val="fr-FR"/>
        </w:rPr>
        <w:t>.  Aux termes de l</w:t>
      </w:r>
      <w:r w:rsidR="00743BEA" w:rsidRPr="00743BEA">
        <w:rPr>
          <w:rFonts w:eastAsia="Times New Roman"/>
          <w:lang w:val="fr-FR"/>
        </w:rPr>
        <w:t>’</w:t>
      </w:r>
      <w:r w:rsidRPr="00743BEA">
        <w:rPr>
          <w:rFonts w:eastAsia="Times New Roman"/>
          <w:lang w:val="fr-FR"/>
        </w:rPr>
        <w:t>article 43 § 4 du règlement,</w:t>
      </w:r>
    </w:p>
    <w:p w:rsidR="002A24C4" w:rsidRPr="00743BEA" w:rsidRDefault="002A24C4" w:rsidP="00743BEA">
      <w:pPr>
        <w:pStyle w:val="ECHRParaQuote"/>
        <w:rPr>
          <w:rFonts w:eastAsia="Times New Roman"/>
          <w:lang w:val="fr-FR"/>
        </w:rPr>
      </w:pPr>
      <w:r w:rsidRPr="00743BEA">
        <w:rPr>
          <w:rFonts w:eastAsia="Times New Roman"/>
          <w:lang w:val="fr-FR"/>
        </w:rPr>
        <w:t>« Lorsqu</w:t>
      </w:r>
      <w:r w:rsidR="00743BEA" w:rsidRPr="00743BEA">
        <w:rPr>
          <w:rFonts w:eastAsia="Times New Roman"/>
          <w:lang w:val="fr-FR"/>
        </w:rPr>
        <w:t>’</w:t>
      </w:r>
      <w:r w:rsidRPr="00743BEA">
        <w:rPr>
          <w:rFonts w:eastAsia="Times New Roman"/>
          <w:lang w:val="fr-FR"/>
        </w:rPr>
        <w:t>une requête a été rayée du rôle, les dépens sont laissés à l</w:t>
      </w:r>
      <w:r w:rsidR="00743BEA" w:rsidRPr="00743BEA">
        <w:rPr>
          <w:rFonts w:eastAsia="Times New Roman"/>
          <w:lang w:val="fr-FR"/>
        </w:rPr>
        <w:t>’</w:t>
      </w:r>
      <w:r w:rsidRPr="00743BEA">
        <w:rPr>
          <w:rFonts w:eastAsia="Times New Roman"/>
          <w:lang w:val="fr-FR"/>
        </w:rPr>
        <w:t>appréciation de la Cour (...) »</w:t>
      </w:r>
    </w:p>
    <w:p w:rsidR="002A24C4" w:rsidRPr="00743BEA" w:rsidRDefault="002A24C4" w:rsidP="00743BEA">
      <w:pPr>
        <w:pStyle w:val="ECHRPara"/>
        <w:rPr>
          <w:rFonts w:eastAsia="Times New Roman"/>
          <w:color w:val="000000" w:themeColor="text1"/>
          <w:lang w:val="fr-FR"/>
        </w:rPr>
      </w:pPr>
      <w:r w:rsidRPr="00743BEA">
        <w:rPr>
          <w:rFonts w:eastAsia="Times New Roman"/>
          <w:lang w:val="fr-FR"/>
        </w:rPr>
        <w:fldChar w:fldCharType="begin"/>
      </w:r>
      <w:r w:rsidRPr="00743BEA">
        <w:rPr>
          <w:rFonts w:eastAsia="Times New Roman"/>
          <w:lang w:val="fr-FR"/>
        </w:rPr>
        <w:instrText xml:space="preserve"> SEQ level0 \*arabic </w:instrText>
      </w:r>
      <w:r w:rsidRPr="00743BEA">
        <w:rPr>
          <w:rFonts w:eastAsia="Times New Roman"/>
          <w:lang w:val="fr-FR"/>
        </w:rPr>
        <w:fldChar w:fldCharType="separate"/>
      </w:r>
      <w:r w:rsidR="00743BEA">
        <w:rPr>
          <w:rFonts w:eastAsia="Times New Roman"/>
          <w:noProof/>
          <w:lang w:val="fr-FR"/>
        </w:rPr>
        <w:t>17</w:t>
      </w:r>
      <w:r w:rsidRPr="00743BEA">
        <w:rPr>
          <w:rFonts w:eastAsia="Times New Roman"/>
          <w:lang w:val="fr-FR"/>
        </w:rPr>
        <w:fldChar w:fldCharType="end"/>
      </w:r>
      <w:r w:rsidRPr="00743BEA">
        <w:rPr>
          <w:rFonts w:eastAsia="Times New Roman"/>
          <w:lang w:val="fr-FR"/>
        </w:rPr>
        <w:t>.  </w:t>
      </w:r>
      <w:proofErr w:type="gramStart"/>
      <w:r w:rsidRPr="00743BEA">
        <w:rPr>
          <w:rFonts w:eastAsia="Times New Roman"/>
          <w:lang w:val="fr-FR"/>
        </w:rPr>
        <w:t>La Cour rappelle qu</w:t>
      </w:r>
      <w:r w:rsidR="00743BEA" w:rsidRPr="00743BEA">
        <w:rPr>
          <w:rFonts w:eastAsia="Times New Roman"/>
          <w:lang w:val="fr-FR"/>
        </w:rPr>
        <w:t>’</w:t>
      </w:r>
      <w:r w:rsidRPr="00743BEA">
        <w:rPr>
          <w:rFonts w:eastAsia="Times New Roman"/>
          <w:lang w:val="fr-FR"/>
        </w:rPr>
        <w:t>à la différence de l</w:t>
      </w:r>
      <w:r w:rsidR="00743BEA" w:rsidRPr="00743BEA">
        <w:rPr>
          <w:rFonts w:eastAsia="Times New Roman"/>
          <w:lang w:val="fr-FR"/>
        </w:rPr>
        <w:t>’</w:t>
      </w:r>
      <w:r w:rsidRPr="00743BEA">
        <w:rPr>
          <w:rFonts w:eastAsia="Times New Roman"/>
          <w:lang w:val="fr-FR"/>
        </w:rPr>
        <w:t>article 41 de la Convention, qui n</w:t>
      </w:r>
      <w:r w:rsidR="00743BEA" w:rsidRPr="00743BEA">
        <w:rPr>
          <w:rFonts w:eastAsia="Times New Roman"/>
          <w:lang w:val="fr-FR"/>
        </w:rPr>
        <w:t>’</w:t>
      </w:r>
      <w:r w:rsidRPr="00743BEA">
        <w:rPr>
          <w:rFonts w:eastAsia="Times New Roman"/>
          <w:lang w:val="fr-FR"/>
        </w:rPr>
        <w:t xml:space="preserve">entre en jeu que si elle a préalablement « </w:t>
      </w:r>
      <w:proofErr w:type="spellStart"/>
      <w:r w:rsidRPr="00743BEA">
        <w:rPr>
          <w:rFonts w:eastAsia="Times New Roman"/>
          <w:lang w:val="fr-FR"/>
        </w:rPr>
        <w:t>déclar</w:t>
      </w:r>
      <w:proofErr w:type="spellEnd"/>
      <w:r w:rsidRPr="00743BEA">
        <w:rPr>
          <w:rFonts w:eastAsia="Times New Roman"/>
          <w:lang w:val="fr-FR"/>
        </w:rPr>
        <w:t>[é] qu</w:t>
      </w:r>
      <w:r w:rsidR="00743BEA" w:rsidRPr="00743BEA">
        <w:rPr>
          <w:rFonts w:eastAsia="Times New Roman"/>
          <w:lang w:val="fr-FR"/>
        </w:rPr>
        <w:t>’</w:t>
      </w:r>
      <w:r w:rsidRPr="00743BEA">
        <w:rPr>
          <w:rFonts w:eastAsia="Times New Roman"/>
          <w:lang w:val="fr-FR"/>
        </w:rPr>
        <w:t>il y a eu violation de la Convention ou de ses Protocoles », l</w:t>
      </w:r>
      <w:r w:rsidR="00743BEA" w:rsidRPr="00743BEA">
        <w:rPr>
          <w:rFonts w:eastAsia="Times New Roman"/>
          <w:lang w:val="fr-FR"/>
        </w:rPr>
        <w:t>’</w:t>
      </w:r>
      <w:r w:rsidRPr="00743BEA">
        <w:rPr>
          <w:rFonts w:eastAsia="Times New Roman"/>
          <w:lang w:val="fr-FR"/>
        </w:rPr>
        <w:t>article 43 § 4 du règlement autorise la Cour à accorder à l</w:t>
      </w:r>
      <w:r w:rsidR="00743BEA" w:rsidRPr="00743BEA">
        <w:rPr>
          <w:rFonts w:eastAsia="Times New Roman"/>
          <w:lang w:val="fr-FR"/>
        </w:rPr>
        <w:t>’</w:t>
      </w:r>
      <w:r w:rsidRPr="00743BEA">
        <w:rPr>
          <w:rFonts w:eastAsia="Times New Roman"/>
          <w:lang w:val="fr-FR"/>
        </w:rPr>
        <w:t>intéressé uniquement le remboursement des frais et dépens (</w:t>
      </w:r>
      <w:proofErr w:type="spellStart"/>
      <w:r w:rsidRPr="00743BEA">
        <w:rPr>
          <w:rFonts w:eastAsia="Times New Roman"/>
          <w:i/>
          <w:lang w:val="fr-FR"/>
        </w:rPr>
        <w:t>Syssoyeva</w:t>
      </w:r>
      <w:proofErr w:type="spellEnd"/>
      <w:r w:rsidRPr="00743BEA">
        <w:rPr>
          <w:rFonts w:eastAsia="Times New Roman"/>
          <w:i/>
          <w:lang w:val="fr-FR"/>
        </w:rPr>
        <w:t xml:space="preserve"> et autres c. Lettonie</w:t>
      </w:r>
      <w:r w:rsidRPr="00743BEA">
        <w:rPr>
          <w:rFonts w:eastAsia="Times New Roman"/>
          <w:lang w:val="fr-FR"/>
        </w:rPr>
        <w:t xml:space="preserve"> (radiation) [GC], n</w:t>
      </w:r>
      <w:r w:rsidRPr="00743BEA">
        <w:rPr>
          <w:lang w:val="fr-FR"/>
        </w:rPr>
        <w:t>º </w:t>
      </w:r>
      <w:hyperlink r:id="rId11" w:anchor="{&quot;appno&quot;:[&quot;60654/00&quot;]}" w:tgtFrame="_blank" w:history="1">
        <w:r w:rsidRPr="00743BEA">
          <w:rPr>
            <w:rStyle w:val="Collegamentoipertestuale"/>
            <w:rFonts w:eastAsia="Times New Roman"/>
            <w:color w:val="000000" w:themeColor="text1"/>
            <w:u w:val="none"/>
            <w:lang w:val="fr-FR"/>
          </w:rPr>
          <w:t>60654/00</w:t>
        </w:r>
      </w:hyperlink>
      <w:r w:rsidRPr="00743BEA">
        <w:rPr>
          <w:rFonts w:eastAsia="Times New Roman"/>
          <w:color w:val="000000" w:themeColor="text1"/>
          <w:lang w:val="fr-FR"/>
        </w:rPr>
        <w:t>, § 132, CEDH 2007</w:t>
      </w:r>
      <w:r w:rsidRPr="00743BEA">
        <w:rPr>
          <w:rFonts w:eastAsia="Times New Roman"/>
          <w:color w:val="000000" w:themeColor="text1"/>
          <w:lang w:val="fr-FR"/>
        </w:rPr>
        <w:noBreakHyphen/>
        <w:t xml:space="preserve">I, et </w:t>
      </w:r>
      <w:proofErr w:type="spellStart"/>
      <w:r w:rsidRPr="00743BEA">
        <w:rPr>
          <w:rFonts w:eastAsia="Times New Roman"/>
          <w:i/>
          <w:color w:val="000000" w:themeColor="text1"/>
          <w:lang w:val="fr-FR"/>
        </w:rPr>
        <w:t>Kaftaïlova</w:t>
      </w:r>
      <w:proofErr w:type="spellEnd"/>
      <w:r w:rsidRPr="00743BEA">
        <w:rPr>
          <w:rFonts w:eastAsia="Times New Roman"/>
          <w:i/>
          <w:color w:val="000000" w:themeColor="text1"/>
          <w:lang w:val="fr-FR"/>
        </w:rPr>
        <w:t xml:space="preserve"> c. Lettonie</w:t>
      </w:r>
      <w:r w:rsidRPr="00743BEA">
        <w:rPr>
          <w:rFonts w:eastAsia="Times New Roman"/>
          <w:color w:val="000000" w:themeColor="text1"/>
          <w:lang w:val="fr-FR"/>
        </w:rPr>
        <w:t xml:space="preserve"> (radiation) [GC], n</w:t>
      </w:r>
      <w:r w:rsidRPr="00743BEA">
        <w:rPr>
          <w:lang w:val="fr-FR"/>
        </w:rPr>
        <w:t xml:space="preserve">º 59643/00 </w:t>
      </w:r>
      <w:r w:rsidRPr="00743BEA">
        <w:rPr>
          <w:rFonts w:eastAsia="Times New Roman"/>
          <w:color w:val="000000" w:themeColor="text1"/>
          <w:lang w:val="fr-FR"/>
        </w:rPr>
        <w:t>§ 57, 7 décembre 2007).</w:t>
      </w:r>
      <w:proofErr w:type="gramEnd"/>
    </w:p>
    <w:p w:rsidR="002A24C4" w:rsidRPr="00743BEA" w:rsidRDefault="002A24C4" w:rsidP="00743BEA">
      <w:pPr>
        <w:pStyle w:val="ECHRPara"/>
        <w:rPr>
          <w:rFonts w:eastAsia="Times New Roman"/>
          <w:lang w:val="fr-FR"/>
        </w:rPr>
      </w:pPr>
      <w:r w:rsidRPr="00743BEA">
        <w:rPr>
          <w:rFonts w:eastAsia="Times New Roman"/>
          <w:lang w:val="fr-FR"/>
        </w:rPr>
        <w:lastRenderedPageBreak/>
        <w:fldChar w:fldCharType="begin"/>
      </w:r>
      <w:r w:rsidRPr="00743BEA">
        <w:rPr>
          <w:rFonts w:eastAsia="Times New Roman"/>
          <w:lang w:val="fr-FR"/>
        </w:rPr>
        <w:instrText xml:space="preserve"> SEQ level0 \*arabic </w:instrText>
      </w:r>
      <w:r w:rsidRPr="00743BEA">
        <w:rPr>
          <w:rFonts w:eastAsia="Times New Roman"/>
          <w:lang w:val="fr-FR"/>
        </w:rPr>
        <w:fldChar w:fldCharType="separate"/>
      </w:r>
      <w:r w:rsidR="00743BEA">
        <w:rPr>
          <w:rFonts w:eastAsia="Times New Roman"/>
          <w:noProof/>
          <w:lang w:val="fr-FR"/>
        </w:rPr>
        <w:t>18</w:t>
      </w:r>
      <w:r w:rsidRPr="00743BEA">
        <w:rPr>
          <w:rFonts w:eastAsia="Times New Roman"/>
          <w:lang w:val="fr-FR"/>
        </w:rPr>
        <w:fldChar w:fldCharType="end"/>
      </w:r>
      <w:r w:rsidRPr="00743BEA">
        <w:rPr>
          <w:rFonts w:eastAsia="Times New Roman"/>
          <w:lang w:val="fr-FR"/>
        </w:rPr>
        <w:t>.  Le requérant sollicite le remboursement des frais qu</w:t>
      </w:r>
      <w:r w:rsidR="00743BEA" w:rsidRPr="00743BEA">
        <w:rPr>
          <w:rFonts w:eastAsia="Times New Roman"/>
          <w:lang w:val="fr-FR"/>
        </w:rPr>
        <w:t>’</w:t>
      </w:r>
      <w:r w:rsidRPr="00743BEA">
        <w:rPr>
          <w:rFonts w:eastAsia="Times New Roman"/>
          <w:lang w:val="fr-FR"/>
        </w:rPr>
        <w:t xml:space="preserve">il a engagés devant la Cour pour faire redresser la violation alléguée de la Convention. Il chiffre le montant de ces frais à 5 000 euros (EUR) </w:t>
      </w:r>
      <w:r w:rsidRPr="00743BEA">
        <w:rPr>
          <w:rFonts w:eastAsiaTheme="majorEastAsia"/>
          <w:lang w:val="fr-FR"/>
        </w:rPr>
        <w:t>au titre de ses frais d</w:t>
      </w:r>
      <w:r w:rsidR="00743BEA" w:rsidRPr="00743BEA">
        <w:rPr>
          <w:rFonts w:eastAsiaTheme="majorEastAsia"/>
          <w:lang w:val="fr-FR"/>
        </w:rPr>
        <w:t>’</w:t>
      </w:r>
      <w:r w:rsidRPr="00743BEA">
        <w:rPr>
          <w:rFonts w:eastAsiaTheme="majorEastAsia"/>
          <w:lang w:val="fr-FR"/>
        </w:rPr>
        <w:t>avocat devant la Cour</w:t>
      </w:r>
      <w:r w:rsidRPr="00743BEA">
        <w:rPr>
          <w:rFonts w:eastAsia="Times New Roman"/>
          <w:lang w:val="fr-FR"/>
        </w:rPr>
        <w:t>.</w:t>
      </w:r>
    </w:p>
    <w:p w:rsidR="002A24C4" w:rsidRPr="00743BEA" w:rsidRDefault="002A24C4" w:rsidP="00743BEA">
      <w:pPr>
        <w:pStyle w:val="ECHRPara"/>
        <w:rPr>
          <w:rFonts w:eastAsiaTheme="majorEastAsia"/>
          <w:lang w:val="fr-FR"/>
        </w:rPr>
      </w:pPr>
      <w:r w:rsidRPr="00743BEA">
        <w:rPr>
          <w:rFonts w:eastAsiaTheme="majorEastAsia"/>
          <w:lang w:val="fr-FR"/>
        </w:rPr>
        <w:fldChar w:fldCharType="begin"/>
      </w:r>
      <w:r w:rsidRPr="00743BEA">
        <w:rPr>
          <w:rFonts w:eastAsiaTheme="majorEastAsia"/>
          <w:lang w:val="fr-FR"/>
        </w:rPr>
        <w:instrText xml:space="preserve"> SEQ level0 \*arabic </w:instrText>
      </w:r>
      <w:r w:rsidRPr="00743BEA">
        <w:rPr>
          <w:rFonts w:eastAsiaTheme="majorEastAsia"/>
          <w:lang w:val="fr-FR"/>
        </w:rPr>
        <w:fldChar w:fldCharType="separate"/>
      </w:r>
      <w:r w:rsidR="00743BEA">
        <w:rPr>
          <w:rFonts w:eastAsiaTheme="majorEastAsia"/>
          <w:noProof/>
          <w:lang w:val="fr-FR"/>
        </w:rPr>
        <w:t>19</w:t>
      </w:r>
      <w:r w:rsidRPr="00743BEA">
        <w:rPr>
          <w:rFonts w:eastAsiaTheme="majorEastAsia"/>
          <w:lang w:val="fr-FR"/>
        </w:rPr>
        <w:fldChar w:fldCharType="end"/>
      </w:r>
      <w:r w:rsidRPr="00743BEA">
        <w:rPr>
          <w:rFonts w:eastAsiaTheme="majorEastAsia"/>
          <w:lang w:val="fr-FR"/>
        </w:rPr>
        <w:t>.  La Cour rappelle que lorsqu</w:t>
      </w:r>
      <w:r w:rsidR="00743BEA" w:rsidRPr="00743BEA">
        <w:rPr>
          <w:rFonts w:eastAsiaTheme="majorEastAsia"/>
          <w:lang w:val="fr-FR"/>
        </w:rPr>
        <w:t>’</w:t>
      </w:r>
      <w:r w:rsidRPr="00743BEA">
        <w:rPr>
          <w:rFonts w:eastAsiaTheme="majorEastAsia"/>
          <w:lang w:val="fr-FR"/>
        </w:rPr>
        <w:t>une requête a été rayée du rôle, s</w:t>
      </w:r>
      <w:r w:rsidR="00743BEA" w:rsidRPr="00743BEA">
        <w:rPr>
          <w:rFonts w:eastAsiaTheme="majorEastAsia"/>
          <w:lang w:val="fr-FR"/>
        </w:rPr>
        <w:t>’</w:t>
      </w:r>
      <w:r w:rsidRPr="00743BEA">
        <w:rPr>
          <w:rFonts w:eastAsiaTheme="majorEastAsia"/>
          <w:lang w:val="fr-FR"/>
        </w:rPr>
        <w:t>il ne lui est pas possible d</w:t>
      </w:r>
      <w:r w:rsidR="00743BEA" w:rsidRPr="00743BEA">
        <w:rPr>
          <w:rFonts w:eastAsiaTheme="majorEastAsia"/>
          <w:lang w:val="fr-FR"/>
        </w:rPr>
        <w:t>’</w:t>
      </w:r>
      <w:r w:rsidRPr="00743BEA">
        <w:rPr>
          <w:rFonts w:eastAsiaTheme="majorEastAsia"/>
          <w:lang w:val="fr-FR"/>
        </w:rPr>
        <w:t>accorder une somme pour les dommages allégués, les dépens sont quant à eux laissés à son appréciation, conformément aux dispositions de l</w:t>
      </w:r>
      <w:r w:rsidR="00743BEA" w:rsidRPr="00743BEA">
        <w:rPr>
          <w:rFonts w:eastAsiaTheme="majorEastAsia"/>
          <w:lang w:val="fr-FR"/>
        </w:rPr>
        <w:t>’</w:t>
      </w:r>
      <w:r w:rsidRPr="00743BEA">
        <w:rPr>
          <w:rFonts w:eastAsiaTheme="majorEastAsia"/>
          <w:lang w:val="fr-FR"/>
        </w:rPr>
        <w:t xml:space="preserve">article </w:t>
      </w:r>
      <w:r w:rsidRPr="00743BEA">
        <w:rPr>
          <w:lang w:val="fr-FR"/>
        </w:rPr>
        <w:t>43 § 4</w:t>
      </w:r>
      <w:r w:rsidRPr="00743BEA">
        <w:rPr>
          <w:rFonts w:eastAsiaTheme="majorEastAsia"/>
          <w:lang w:val="fr-FR"/>
        </w:rPr>
        <w:t xml:space="preserve"> du règlement de la Cour.</w:t>
      </w:r>
    </w:p>
    <w:p w:rsidR="002A24C4" w:rsidRPr="00743BEA" w:rsidRDefault="002A24C4" w:rsidP="00743BEA">
      <w:pPr>
        <w:pStyle w:val="ECHRPara"/>
        <w:rPr>
          <w:color w:val="000000" w:themeColor="text1"/>
          <w:lang w:val="fr-FR"/>
        </w:rPr>
      </w:pPr>
      <w:r w:rsidRPr="00743BEA">
        <w:rPr>
          <w:rFonts w:eastAsiaTheme="majorEastAsia"/>
          <w:lang w:val="fr-FR"/>
        </w:rPr>
        <w:fldChar w:fldCharType="begin"/>
      </w:r>
      <w:r w:rsidRPr="00743BEA">
        <w:rPr>
          <w:rFonts w:eastAsiaTheme="majorEastAsia"/>
          <w:lang w:val="fr-FR"/>
        </w:rPr>
        <w:instrText xml:space="preserve"> SEQ level0 \*arabic </w:instrText>
      </w:r>
      <w:r w:rsidRPr="00743BEA">
        <w:rPr>
          <w:rFonts w:eastAsiaTheme="majorEastAsia"/>
          <w:lang w:val="fr-FR"/>
        </w:rPr>
        <w:fldChar w:fldCharType="separate"/>
      </w:r>
      <w:r w:rsidR="00743BEA">
        <w:rPr>
          <w:rFonts w:eastAsiaTheme="majorEastAsia"/>
          <w:noProof/>
          <w:lang w:val="fr-FR"/>
        </w:rPr>
        <w:t>20</w:t>
      </w:r>
      <w:r w:rsidRPr="00743BEA">
        <w:rPr>
          <w:rFonts w:eastAsiaTheme="majorEastAsia"/>
          <w:lang w:val="fr-FR"/>
        </w:rPr>
        <w:fldChar w:fldCharType="end"/>
      </w:r>
      <w:r w:rsidRPr="00743BEA">
        <w:rPr>
          <w:rFonts w:eastAsiaTheme="majorEastAsia"/>
          <w:lang w:val="fr-FR"/>
        </w:rPr>
        <w:t>.  </w:t>
      </w:r>
      <w:proofErr w:type="gramStart"/>
      <w:r w:rsidRPr="00743BEA">
        <w:rPr>
          <w:rFonts w:eastAsiaTheme="majorEastAsia"/>
          <w:lang w:val="fr-FR"/>
        </w:rPr>
        <w:t>Dans le cas d</w:t>
      </w:r>
      <w:r w:rsidR="00743BEA" w:rsidRPr="00743BEA">
        <w:rPr>
          <w:rFonts w:eastAsiaTheme="majorEastAsia"/>
          <w:lang w:val="fr-FR"/>
        </w:rPr>
        <w:t>’</w:t>
      </w:r>
      <w:r w:rsidRPr="00743BEA">
        <w:rPr>
          <w:rFonts w:eastAsiaTheme="majorEastAsia"/>
          <w:lang w:val="fr-FR"/>
        </w:rPr>
        <w:t xml:space="preserve">espèce, </w:t>
      </w:r>
      <w:r w:rsidRPr="00743BEA">
        <w:rPr>
          <w:lang w:val="fr-FR"/>
        </w:rPr>
        <w:t>la Cour considère que la somme proposée par le Gouvernement n</w:t>
      </w:r>
      <w:r w:rsidR="00743BEA" w:rsidRPr="00743BEA">
        <w:rPr>
          <w:lang w:val="fr-FR"/>
        </w:rPr>
        <w:t>’</w:t>
      </w:r>
      <w:r w:rsidRPr="00743BEA">
        <w:rPr>
          <w:lang w:val="fr-FR"/>
        </w:rPr>
        <w:t>est pas suffisant à couvrir les frais et dépens engagés par le requérant devant la Cour et décide d</w:t>
      </w:r>
      <w:r w:rsidR="00743BEA" w:rsidRPr="00743BEA">
        <w:rPr>
          <w:lang w:val="fr-FR"/>
        </w:rPr>
        <w:t>’</w:t>
      </w:r>
      <w:r w:rsidRPr="00743BEA">
        <w:rPr>
          <w:lang w:val="fr-FR"/>
        </w:rPr>
        <w:t>user de son pouvoir discrétionnaire pour accorder au sens de l</w:t>
      </w:r>
      <w:r w:rsidR="00743BEA" w:rsidRPr="00743BEA">
        <w:rPr>
          <w:lang w:val="fr-FR"/>
        </w:rPr>
        <w:t>’</w:t>
      </w:r>
      <w:r w:rsidRPr="00743BEA">
        <w:rPr>
          <w:lang w:val="fr-FR"/>
        </w:rPr>
        <w:t xml:space="preserve">article 43 § 4 du Règlement de la Cour </w:t>
      </w:r>
      <w:r w:rsidRPr="00743BEA">
        <w:rPr>
          <w:color w:val="000000" w:themeColor="text1"/>
          <w:lang w:val="fr-FR"/>
        </w:rPr>
        <w:t>(</w:t>
      </w:r>
      <w:proofErr w:type="spellStart"/>
      <w:r w:rsidRPr="00743BEA">
        <w:rPr>
          <w:i/>
          <w:color w:val="000000" w:themeColor="text1"/>
          <w:lang w:val="fr-FR"/>
        </w:rPr>
        <w:t>Chevanova</w:t>
      </w:r>
      <w:proofErr w:type="spellEnd"/>
      <w:r w:rsidRPr="00743BEA">
        <w:rPr>
          <w:i/>
          <w:color w:val="000000" w:themeColor="text1"/>
          <w:lang w:val="fr-FR"/>
        </w:rPr>
        <w:t xml:space="preserve"> c. Lettonie</w:t>
      </w:r>
      <w:r w:rsidRPr="00743BEA">
        <w:rPr>
          <w:color w:val="000000" w:themeColor="text1"/>
          <w:lang w:val="fr-FR"/>
        </w:rPr>
        <w:t xml:space="preserve"> (radiation) [GC], n</w:t>
      </w:r>
      <w:r w:rsidRPr="00743BEA">
        <w:rPr>
          <w:lang w:val="fr-FR"/>
        </w:rPr>
        <w:t xml:space="preserve">º </w:t>
      </w:r>
      <w:hyperlink r:id="rId12" w:anchor="{&quot;appno&quot;:[&quot;58822/00&quot;]}" w:tgtFrame="_blank" w:history="1">
        <w:r w:rsidRPr="00743BEA">
          <w:rPr>
            <w:rStyle w:val="Collegamentoipertestuale"/>
            <w:color w:val="000000" w:themeColor="text1"/>
            <w:u w:val="none"/>
            <w:lang w:val="fr-FR"/>
          </w:rPr>
          <w:t>58822/00</w:t>
        </w:r>
      </w:hyperlink>
      <w:r w:rsidRPr="00743BEA">
        <w:rPr>
          <w:color w:val="000000" w:themeColor="text1"/>
          <w:lang w:val="fr-FR"/>
        </w:rPr>
        <w:t xml:space="preserve">, § 53, 7 décembre 2007, </w:t>
      </w:r>
      <w:proofErr w:type="spellStart"/>
      <w:r w:rsidRPr="00743BEA">
        <w:rPr>
          <w:i/>
          <w:color w:val="000000" w:themeColor="text1"/>
          <w:lang w:val="fr-FR"/>
        </w:rPr>
        <w:t>Kaftaïlova</w:t>
      </w:r>
      <w:proofErr w:type="spellEnd"/>
      <w:r w:rsidRPr="00743BEA">
        <w:rPr>
          <w:i/>
          <w:color w:val="000000" w:themeColor="text1"/>
          <w:lang w:val="fr-FR"/>
        </w:rPr>
        <w:t xml:space="preserve"> </w:t>
      </w:r>
      <w:r w:rsidRPr="00743BEA">
        <w:rPr>
          <w:color w:val="000000" w:themeColor="text1"/>
          <w:lang w:val="fr-FR"/>
        </w:rPr>
        <w:t xml:space="preserve">précité § 57, 7 décembre 2007 , </w:t>
      </w:r>
      <w:proofErr w:type="spellStart"/>
      <w:r w:rsidRPr="00743BEA">
        <w:rPr>
          <w:i/>
          <w:color w:val="000000" w:themeColor="text1"/>
          <w:lang w:val="fr-FR"/>
        </w:rPr>
        <w:t>Manfredi</w:t>
      </w:r>
      <w:proofErr w:type="spellEnd"/>
      <w:r w:rsidRPr="00743BEA">
        <w:rPr>
          <w:i/>
          <w:color w:val="000000" w:themeColor="text1"/>
          <w:lang w:val="fr-FR"/>
        </w:rPr>
        <w:t xml:space="preserve"> c. France,</w:t>
      </w:r>
      <w:r w:rsidRPr="00743BEA">
        <w:rPr>
          <w:color w:val="000000" w:themeColor="text1"/>
          <w:lang w:val="fr-FR"/>
        </w:rPr>
        <w:t xml:space="preserve"> (</w:t>
      </w:r>
      <w:proofErr w:type="spellStart"/>
      <w:r w:rsidRPr="00743BEA">
        <w:rPr>
          <w:color w:val="000000" w:themeColor="text1"/>
          <w:lang w:val="fr-FR"/>
        </w:rPr>
        <w:t>dec</w:t>
      </w:r>
      <w:proofErr w:type="spellEnd"/>
      <w:r w:rsidRPr="00743BEA">
        <w:rPr>
          <w:color w:val="000000" w:themeColor="text1"/>
          <w:lang w:val="fr-FR"/>
        </w:rPr>
        <w:t>.), n</w:t>
      </w:r>
      <w:r w:rsidRPr="00743BEA">
        <w:rPr>
          <w:lang w:val="fr-FR"/>
        </w:rPr>
        <w:t xml:space="preserve">º </w:t>
      </w:r>
      <w:r w:rsidRPr="00743BEA">
        <w:rPr>
          <w:color w:val="000000" w:themeColor="text1"/>
          <w:lang w:val="fr-FR"/>
        </w:rPr>
        <w:t xml:space="preserve">52117/14 17 juillet 2017 , </w:t>
      </w:r>
      <w:proofErr w:type="spellStart"/>
      <w:r w:rsidRPr="00743BEA">
        <w:rPr>
          <w:i/>
          <w:color w:val="000000" w:themeColor="text1"/>
          <w:lang w:val="fr-FR"/>
        </w:rPr>
        <w:t>Saakov</w:t>
      </w:r>
      <w:proofErr w:type="spellEnd"/>
      <w:r w:rsidRPr="00743BEA">
        <w:rPr>
          <w:i/>
          <w:color w:val="000000" w:themeColor="text1"/>
          <w:lang w:val="fr-FR"/>
        </w:rPr>
        <w:t xml:space="preserve"> c. Russie</w:t>
      </w:r>
      <w:r w:rsidRPr="00743BEA">
        <w:rPr>
          <w:color w:val="000000" w:themeColor="text1"/>
          <w:lang w:val="fr-FR"/>
        </w:rPr>
        <w:t>, (</w:t>
      </w:r>
      <w:proofErr w:type="spellStart"/>
      <w:r w:rsidRPr="00743BEA">
        <w:rPr>
          <w:color w:val="000000" w:themeColor="text1"/>
          <w:lang w:val="fr-FR"/>
        </w:rPr>
        <w:t>dec</w:t>
      </w:r>
      <w:proofErr w:type="spellEnd"/>
      <w:r w:rsidRPr="00743BEA">
        <w:rPr>
          <w:color w:val="000000" w:themeColor="text1"/>
          <w:lang w:val="fr-FR"/>
        </w:rPr>
        <w:t>.), n</w:t>
      </w:r>
      <w:r w:rsidRPr="00743BEA">
        <w:rPr>
          <w:lang w:val="fr-FR"/>
        </w:rPr>
        <w:t xml:space="preserve">º </w:t>
      </w:r>
      <w:r w:rsidRPr="00743BEA">
        <w:rPr>
          <w:color w:val="000000" w:themeColor="text1"/>
          <w:lang w:val="fr-FR"/>
        </w:rPr>
        <w:t xml:space="preserve">39563/11 13 janvier 2015, </w:t>
      </w:r>
      <w:proofErr w:type="spellStart"/>
      <w:r w:rsidRPr="00743BEA">
        <w:rPr>
          <w:i/>
          <w:color w:val="000000" w:themeColor="text1"/>
          <w:lang w:val="fr-FR"/>
        </w:rPr>
        <w:t>Zakirov</w:t>
      </w:r>
      <w:proofErr w:type="spellEnd"/>
      <w:r w:rsidRPr="00743BEA">
        <w:rPr>
          <w:i/>
          <w:color w:val="000000" w:themeColor="text1"/>
          <w:lang w:val="fr-FR"/>
        </w:rPr>
        <w:t xml:space="preserve"> c. Russie</w:t>
      </w:r>
      <w:r w:rsidRPr="00743BEA">
        <w:rPr>
          <w:color w:val="000000" w:themeColor="text1"/>
          <w:lang w:val="fr-FR"/>
        </w:rPr>
        <w:t xml:space="preserve"> (</w:t>
      </w:r>
      <w:proofErr w:type="spellStart"/>
      <w:r w:rsidRPr="00743BEA">
        <w:rPr>
          <w:color w:val="000000" w:themeColor="text1"/>
          <w:lang w:val="fr-FR"/>
        </w:rPr>
        <w:t>dec</w:t>
      </w:r>
      <w:proofErr w:type="spellEnd"/>
      <w:r w:rsidRPr="00743BEA">
        <w:rPr>
          <w:color w:val="000000" w:themeColor="text1"/>
          <w:lang w:val="fr-FR"/>
        </w:rPr>
        <w:t>.), n</w:t>
      </w:r>
      <w:r w:rsidRPr="00743BEA">
        <w:rPr>
          <w:lang w:val="fr-FR"/>
        </w:rPr>
        <w:t>º</w:t>
      </w:r>
      <w:r w:rsidRPr="00743BEA">
        <w:rPr>
          <w:color w:val="000000" w:themeColor="text1"/>
          <w:lang w:val="fr-FR"/>
        </w:rPr>
        <w:t xml:space="preserve"> </w:t>
      </w:r>
      <w:hyperlink r:id="rId13" w:anchor="{&quot;appno&quot;:[&quot;50799/08&quot;]}" w:tgtFrame="_blank" w:history="1">
        <w:r w:rsidRPr="00743BEA">
          <w:rPr>
            <w:rStyle w:val="Collegamentoipertestuale"/>
            <w:color w:val="000000" w:themeColor="text1"/>
            <w:u w:val="none"/>
            <w:lang w:val="fr-FR"/>
          </w:rPr>
          <w:t>50799/08</w:t>
        </w:r>
      </w:hyperlink>
      <w:r w:rsidRPr="00743BEA">
        <w:rPr>
          <w:color w:val="000000" w:themeColor="text1"/>
          <w:lang w:val="fr-FR"/>
        </w:rPr>
        <w:t xml:space="preserve">, 18 février 2014, </w:t>
      </w:r>
      <w:proofErr w:type="spellStart"/>
      <w:r w:rsidRPr="00743BEA">
        <w:rPr>
          <w:i/>
          <w:color w:val="000000" w:themeColor="text1"/>
          <w:lang w:val="fr-FR"/>
        </w:rPr>
        <w:t>Scholvien</w:t>
      </w:r>
      <w:proofErr w:type="spellEnd"/>
      <w:r w:rsidRPr="00743BEA">
        <w:rPr>
          <w:i/>
          <w:color w:val="000000" w:themeColor="text1"/>
          <w:lang w:val="fr-FR"/>
        </w:rPr>
        <w:t xml:space="preserve"> et autres c. Allemagne</w:t>
      </w:r>
      <w:r w:rsidRPr="00743BEA">
        <w:rPr>
          <w:color w:val="000000" w:themeColor="text1"/>
          <w:lang w:val="fr-FR"/>
        </w:rPr>
        <w:t xml:space="preserve"> (</w:t>
      </w:r>
      <w:proofErr w:type="spellStart"/>
      <w:r w:rsidRPr="00743BEA">
        <w:rPr>
          <w:color w:val="000000" w:themeColor="text1"/>
          <w:lang w:val="fr-FR"/>
        </w:rPr>
        <w:t>dec</w:t>
      </w:r>
      <w:proofErr w:type="spellEnd"/>
      <w:r w:rsidRPr="00743BEA">
        <w:rPr>
          <w:color w:val="000000" w:themeColor="text1"/>
          <w:lang w:val="fr-FR"/>
        </w:rPr>
        <w:t>.), n</w:t>
      </w:r>
      <w:r w:rsidRPr="00743BEA">
        <w:rPr>
          <w:lang w:val="fr-FR"/>
        </w:rPr>
        <w:t xml:space="preserve">º </w:t>
      </w:r>
      <w:hyperlink r:id="rId14" w:anchor="{&quot;appno&quot;:[&quot;13166/08&quot;]}" w:tgtFrame="_blank" w:history="1">
        <w:r w:rsidRPr="00743BEA">
          <w:rPr>
            <w:rStyle w:val="Collegamentoipertestuale"/>
            <w:color w:val="000000" w:themeColor="text1"/>
            <w:u w:val="none"/>
            <w:lang w:val="fr-FR"/>
          </w:rPr>
          <w:t>13166/08</w:t>
        </w:r>
      </w:hyperlink>
      <w:r w:rsidRPr="00743BEA">
        <w:rPr>
          <w:color w:val="000000" w:themeColor="text1"/>
          <w:lang w:val="fr-FR"/>
        </w:rPr>
        <w:t xml:space="preserve">, 12 novembre 2013, </w:t>
      </w:r>
      <w:proofErr w:type="spellStart"/>
      <w:r w:rsidRPr="00743BEA">
        <w:rPr>
          <w:i/>
          <w:color w:val="000000" w:themeColor="text1"/>
          <w:lang w:val="fr-FR"/>
        </w:rPr>
        <w:t>Święch</w:t>
      </w:r>
      <w:proofErr w:type="spellEnd"/>
      <w:r w:rsidRPr="00743BEA">
        <w:rPr>
          <w:i/>
          <w:color w:val="000000" w:themeColor="text1"/>
          <w:lang w:val="fr-FR"/>
        </w:rPr>
        <w:t xml:space="preserve"> c. Pologne</w:t>
      </w:r>
      <w:r w:rsidRPr="00743BEA">
        <w:rPr>
          <w:color w:val="000000" w:themeColor="text1"/>
          <w:lang w:val="fr-FR"/>
        </w:rPr>
        <w:t xml:space="preserve"> (</w:t>
      </w:r>
      <w:proofErr w:type="spellStart"/>
      <w:r w:rsidRPr="00743BEA">
        <w:rPr>
          <w:color w:val="000000" w:themeColor="text1"/>
          <w:lang w:val="fr-FR"/>
        </w:rPr>
        <w:t>dec</w:t>
      </w:r>
      <w:proofErr w:type="spellEnd"/>
      <w:r w:rsidRPr="00743BEA">
        <w:rPr>
          <w:color w:val="000000" w:themeColor="text1"/>
          <w:lang w:val="fr-FR"/>
        </w:rPr>
        <w:t>.), n</w:t>
      </w:r>
      <w:r w:rsidRPr="00743BEA">
        <w:rPr>
          <w:lang w:val="fr-FR"/>
        </w:rPr>
        <w:t>º</w:t>
      </w:r>
      <w:r w:rsidRPr="00743BEA">
        <w:rPr>
          <w:color w:val="000000" w:themeColor="text1"/>
          <w:lang w:val="fr-FR"/>
        </w:rPr>
        <w:t xml:space="preserve"> </w:t>
      </w:r>
      <w:hyperlink r:id="rId15" w:anchor="{&quot;appno&quot;:[&quot;60551/11&quot;]}" w:tgtFrame="_blank" w:history="1">
        <w:r w:rsidRPr="00743BEA">
          <w:rPr>
            <w:rStyle w:val="Collegamentoipertestuale"/>
            <w:color w:val="000000" w:themeColor="text1"/>
            <w:u w:val="none"/>
            <w:lang w:val="fr-FR"/>
          </w:rPr>
          <w:t>60551/11</w:t>
        </w:r>
      </w:hyperlink>
      <w:r w:rsidRPr="00743BEA">
        <w:rPr>
          <w:color w:val="000000" w:themeColor="text1"/>
          <w:lang w:val="fr-FR"/>
        </w:rPr>
        <w:t>, 1</w:t>
      </w:r>
      <w:r w:rsidRPr="00743BEA">
        <w:rPr>
          <w:color w:val="000000" w:themeColor="text1"/>
          <w:vertAlign w:val="superscript"/>
          <w:lang w:val="fr-FR"/>
        </w:rPr>
        <w:t>er</w:t>
      </w:r>
      <w:r w:rsidRPr="00743BEA">
        <w:rPr>
          <w:color w:val="000000" w:themeColor="text1"/>
          <w:lang w:val="fr-FR"/>
        </w:rPr>
        <w:t xml:space="preserve"> juillet 2013, et </w:t>
      </w:r>
      <w:r w:rsidRPr="00743BEA">
        <w:rPr>
          <w:i/>
          <w:color w:val="000000" w:themeColor="text1"/>
          <w:lang w:val="fr-FR"/>
        </w:rPr>
        <w:t>Gil c. Pologne</w:t>
      </w:r>
      <w:r w:rsidRPr="00743BEA">
        <w:rPr>
          <w:color w:val="000000" w:themeColor="text1"/>
          <w:lang w:val="fr-FR"/>
        </w:rPr>
        <w:t xml:space="preserve"> (</w:t>
      </w:r>
      <w:proofErr w:type="spellStart"/>
      <w:r w:rsidRPr="00743BEA">
        <w:rPr>
          <w:color w:val="000000" w:themeColor="text1"/>
          <w:lang w:val="fr-FR"/>
        </w:rPr>
        <w:t>dec</w:t>
      </w:r>
      <w:proofErr w:type="spellEnd"/>
      <w:r w:rsidRPr="00743BEA">
        <w:rPr>
          <w:color w:val="000000" w:themeColor="text1"/>
          <w:lang w:val="fr-FR"/>
        </w:rPr>
        <w:t>.), n</w:t>
      </w:r>
      <w:r w:rsidRPr="00743BEA">
        <w:rPr>
          <w:lang w:val="fr-FR"/>
        </w:rPr>
        <w:t xml:space="preserve">º </w:t>
      </w:r>
      <w:hyperlink r:id="rId16" w:anchor="{&quot;appno&quot;:[&quot;46161/11&quot;]}" w:tgtFrame="_blank" w:history="1">
        <w:r w:rsidRPr="00743BEA">
          <w:rPr>
            <w:rStyle w:val="Collegamentoipertestuale"/>
            <w:color w:val="000000" w:themeColor="text1"/>
            <w:u w:val="none"/>
            <w:lang w:val="fr-FR"/>
          </w:rPr>
          <w:t>46161/11</w:t>
        </w:r>
      </w:hyperlink>
      <w:r w:rsidRPr="00743BEA">
        <w:rPr>
          <w:color w:val="000000" w:themeColor="text1"/>
          <w:lang w:val="fr-FR"/>
        </w:rPr>
        <w:t>, 4 juin 2013).</w:t>
      </w:r>
      <w:proofErr w:type="gramEnd"/>
    </w:p>
    <w:p w:rsidR="002A24C4" w:rsidRPr="00743BEA" w:rsidRDefault="002A24C4" w:rsidP="00743BEA">
      <w:pPr>
        <w:pStyle w:val="ECHRPara"/>
        <w:rPr>
          <w:rFonts w:eastAsiaTheme="majorEastAsia"/>
          <w:lang w:val="fr-FR"/>
        </w:rPr>
      </w:pPr>
      <w:r w:rsidRPr="00743BEA">
        <w:rPr>
          <w:rFonts w:eastAsiaTheme="majorEastAsia"/>
          <w:lang w:val="fr-FR"/>
        </w:rPr>
        <w:fldChar w:fldCharType="begin"/>
      </w:r>
      <w:r w:rsidRPr="00743BEA">
        <w:rPr>
          <w:rFonts w:eastAsiaTheme="majorEastAsia"/>
          <w:lang w:val="fr-FR"/>
        </w:rPr>
        <w:instrText xml:space="preserve"> SEQ level0 \*arabic </w:instrText>
      </w:r>
      <w:r w:rsidRPr="00743BEA">
        <w:rPr>
          <w:rFonts w:eastAsiaTheme="majorEastAsia"/>
          <w:lang w:val="fr-FR"/>
        </w:rPr>
        <w:fldChar w:fldCharType="separate"/>
      </w:r>
      <w:r w:rsidR="00743BEA">
        <w:rPr>
          <w:rFonts w:eastAsiaTheme="majorEastAsia"/>
          <w:noProof/>
          <w:lang w:val="fr-FR"/>
        </w:rPr>
        <w:t>21</w:t>
      </w:r>
      <w:r w:rsidRPr="00743BEA">
        <w:rPr>
          <w:rFonts w:eastAsiaTheme="majorEastAsia"/>
          <w:lang w:val="fr-FR"/>
        </w:rPr>
        <w:fldChar w:fldCharType="end"/>
      </w:r>
      <w:r w:rsidRPr="00743BEA">
        <w:rPr>
          <w:rFonts w:eastAsiaTheme="majorEastAsia"/>
          <w:lang w:val="fr-FR"/>
        </w:rPr>
        <w:t>.  Compte tenu des documents en sa possession et des frais nécessairement et réellement engagés devant elle par le requérant, la Cour estime raisonnable d</w:t>
      </w:r>
      <w:r w:rsidR="00743BEA" w:rsidRPr="00743BEA">
        <w:rPr>
          <w:rFonts w:eastAsiaTheme="majorEastAsia"/>
          <w:lang w:val="fr-FR"/>
        </w:rPr>
        <w:t>’</w:t>
      </w:r>
      <w:r w:rsidRPr="00743BEA">
        <w:rPr>
          <w:rFonts w:eastAsiaTheme="majorEastAsia"/>
          <w:lang w:val="fr-FR"/>
        </w:rPr>
        <w:t>allouer au requérant la somme de 3 000 EUR.</w:t>
      </w:r>
    </w:p>
    <w:p w:rsidR="002A24C4" w:rsidRPr="00743BEA" w:rsidRDefault="002A24C4" w:rsidP="00743BEA">
      <w:pPr>
        <w:pStyle w:val="JuParaLast"/>
        <w:rPr>
          <w:lang w:val="fr-FR"/>
        </w:rPr>
      </w:pPr>
      <w:r w:rsidRPr="00743BEA">
        <w:rPr>
          <w:lang w:val="fr-FR"/>
        </w:rPr>
        <w:t>Par ces motifs, la Cour,</w:t>
      </w:r>
      <w:r w:rsidRPr="00743BEA">
        <w:rPr>
          <w:color w:val="000000"/>
          <w:lang w:val="fr-FR"/>
        </w:rPr>
        <w:t xml:space="preserve"> </w:t>
      </w:r>
      <w:r w:rsidRPr="00743BEA">
        <w:rPr>
          <w:lang w:val="fr-FR"/>
        </w:rPr>
        <w:t>à l</w:t>
      </w:r>
      <w:r w:rsidR="00743BEA" w:rsidRPr="00743BEA">
        <w:rPr>
          <w:lang w:val="fr-FR"/>
        </w:rPr>
        <w:t>’</w:t>
      </w:r>
      <w:r w:rsidRPr="00743BEA">
        <w:rPr>
          <w:lang w:val="fr-FR"/>
        </w:rPr>
        <w:t>unanimité,</w:t>
      </w:r>
    </w:p>
    <w:p w:rsidR="002A24C4" w:rsidRPr="00743BEA" w:rsidRDefault="002A24C4" w:rsidP="00743BEA">
      <w:pPr>
        <w:pStyle w:val="DecList"/>
        <w:keepNext/>
        <w:keepLines/>
        <w:rPr>
          <w:i/>
          <w:lang w:val="fr-FR"/>
        </w:rPr>
      </w:pPr>
      <w:r w:rsidRPr="00743BEA">
        <w:rPr>
          <w:i/>
          <w:lang w:val="fr-FR"/>
        </w:rPr>
        <w:t xml:space="preserve">Prend acte </w:t>
      </w:r>
      <w:r w:rsidRPr="00743BEA">
        <w:rPr>
          <w:lang w:val="fr-FR"/>
        </w:rPr>
        <w:t>des termes de la déclaration du gouvernement défendeur concernant l</w:t>
      </w:r>
      <w:r w:rsidR="00743BEA" w:rsidRPr="00743BEA">
        <w:rPr>
          <w:lang w:val="fr-FR"/>
        </w:rPr>
        <w:t>’</w:t>
      </w:r>
      <w:r w:rsidRPr="00743BEA">
        <w:rPr>
          <w:lang w:val="fr-FR"/>
        </w:rPr>
        <w:t>article 8 de la Convention et des modalités prévues pour assurer le respect des engagements ainsi pris ;</w:t>
      </w:r>
    </w:p>
    <w:p w:rsidR="002A24C4" w:rsidRPr="00743BEA" w:rsidRDefault="002A24C4" w:rsidP="00743BEA">
      <w:pPr>
        <w:pStyle w:val="DecList"/>
        <w:rPr>
          <w:lang w:val="fr-FR"/>
        </w:rPr>
      </w:pPr>
      <w:r w:rsidRPr="00743BEA">
        <w:rPr>
          <w:i/>
          <w:lang w:val="fr-FR"/>
        </w:rPr>
        <w:t>Décide</w:t>
      </w:r>
      <w:r w:rsidRPr="00743BEA">
        <w:rPr>
          <w:lang w:val="fr-FR"/>
        </w:rPr>
        <w:t xml:space="preserve"> de rayer la requête du rôle en application de l</w:t>
      </w:r>
      <w:r w:rsidR="00743BEA" w:rsidRPr="00743BEA">
        <w:rPr>
          <w:lang w:val="fr-FR"/>
        </w:rPr>
        <w:t>’</w:t>
      </w:r>
      <w:r w:rsidRPr="00743BEA">
        <w:rPr>
          <w:lang w:val="fr-FR"/>
        </w:rPr>
        <w:t>article 37 § 1 c) de la Convention ;</w:t>
      </w:r>
    </w:p>
    <w:p w:rsidR="002A24C4" w:rsidRPr="00743BEA" w:rsidRDefault="002A24C4" w:rsidP="00743BEA">
      <w:pPr>
        <w:pStyle w:val="DecList"/>
        <w:rPr>
          <w:i/>
          <w:lang w:val="fr-FR"/>
        </w:rPr>
      </w:pPr>
      <w:r w:rsidRPr="00743BEA">
        <w:rPr>
          <w:i/>
          <w:lang w:val="fr-FR"/>
        </w:rPr>
        <w:t>Dit</w:t>
      </w:r>
    </w:p>
    <w:p w:rsidR="002A24C4" w:rsidRPr="00743BEA" w:rsidRDefault="002A24C4" w:rsidP="00743BEA">
      <w:pPr>
        <w:pStyle w:val="JuLista"/>
        <w:rPr>
          <w:lang w:val="fr-FR"/>
        </w:rPr>
      </w:pPr>
      <w:r w:rsidRPr="00743BEA">
        <w:rPr>
          <w:lang w:val="fr-FR"/>
        </w:rPr>
        <w:t>a)  que l</w:t>
      </w:r>
      <w:r w:rsidR="00743BEA" w:rsidRPr="00743BEA">
        <w:rPr>
          <w:lang w:val="fr-FR"/>
        </w:rPr>
        <w:t>’</w:t>
      </w:r>
      <w:r w:rsidRPr="00743BEA">
        <w:rPr>
          <w:lang w:val="fr-FR"/>
        </w:rPr>
        <w:t>Etat défendeur doit verser au requérant, dans les trois mois à compter de la date de la notification de la présente décision, la somme de 3 000 EUR (trois mille euros) pour frais et dépens, plus tout montant pouvant être dû à titre d</w:t>
      </w:r>
      <w:r w:rsidR="00743BEA" w:rsidRPr="00743BEA">
        <w:rPr>
          <w:lang w:val="fr-FR"/>
        </w:rPr>
        <w:t>’</w:t>
      </w:r>
      <w:r w:rsidRPr="00743BEA">
        <w:rPr>
          <w:lang w:val="fr-FR"/>
        </w:rPr>
        <w:t>impôt par le requérant ;</w:t>
      </w:r>
    </w:p>
    <w:p w:rsidR="002A24C4" w:rsidRPr="00743BEA" w:rsidRDefault="002A24C4" w:rsidP="00743BEA">
      <w:pPr>
        <w:pStyle w:val="JuLista"/>
        <w:rPr>
          <w:lang w:val="fr-FR"/>
        </w:rPr>
      </w:pPr>
      <w:r w:rsidRPr="00743BEA">
        <w:rPr>
          <w:lang w:val="fr-FR"/>
        </w:rPr>
        <w:t>b)  que ce montant sera à majorer d</w:t>
      </w:r>
      <w:r w:rsidR="00743BEA" w:rsidRPr="00743BEA">
        <w:rPr>
          <w:lang w:val="fr-FR"/>
        </w:rPr>
        <w:t>’</w:t>
      </w:r>
      <w:r w:rsidRPr="00743BEA">
        <w:rPr>
          <w:lang w:val="fr-FR"/>
        </w:rPr>
        <w:t>un intérêt simple à un taux égal à celui de la facilité de prêt marginal de la Banque centrale européenne augmenté de trois points de pourcentage à compter de l</w:t>
      </w:r>
      <w:r w:rsidR="00743BEA" w:rsidRPr="00743BEA">
        <w:rPr>
          <w:lang w:val="fr-FR"/>
        </w:rPr>
        <w:t>’</w:t>
      </w:r>
      <w:r w:rsidRPr="00743BEA">
        <w:rPr>
          <w:lang w:val="fr-FR"/>
        </w:rPr>
        <w:t>expiration dudit délai et jusqu</w:t>
      </w:r>
      <w:r w:rsidR="00743BEA" w:rsidRPr="00743BEA">
        <w:rPr>
          <w:lang w:val="fr-FR"/>
        </w:rPr>
        <w:t>’</w:t>
      </w:r>
      <w:r w:rsidRPr="00743BEA">
        <w:rPr>
          <w:lang w:val="fr-FR"/>
        </w:rPr>
        <w:t>au versement.</w:t>
      </w:r>
    </w:p>
    <w:p w:rsidR="002A24C4" w:rsidRPr="00743BEA" w:rsidRDefault="002A24C4" w:rsidP="00743BEA">
      <w:pPr>
        <w:pStyle w:val="JuParaLast"/>
        <w:rPr>
          <w:lang w:val="fr-FR"/>
        </w:rPr>
      </w:pPr>
      <w:r w:rsidRPr="00743BEA">
        <w:rPr>
          <w:szCs w:val="24"/>
          <w:lang w:val="fr-FR"/>
        </w:rPr>
        <w:lastRenderedPageBreak/>
        <w:t>Fait en français puis communiqué par écrit le 7 juin 2018</w:t>
      </w:r>
      <w:r w:rsidRPr="00743BEA">
        <w:rPr>
          <w:lang w:val="fr-FR"/>
        </w:rPr>
        <w:t>.</w:t>
      </w:r>
    </w:p>
    <w:p w:rsidR="002A24C4" w:rsidRPr="00743BEA" w:rsidRDefault="002A24C4" w:rsidP="00743BEA">
      <w:pPr>
        <w:pStyle w:val="JuSigned"/>
        <w:rPr>
          <w:lang w:val="fr-FR"/>
        </w:rPr>
      </w:pPr>
      <w:r w:rsidRPr="00743BEA">
        <w:rPr>
          <w:lang w:val="fr-FR"/>
        </w:rPr>
        <w:tab/>
        <w:t xml:space="preserve">Renata </w:t>
      </w:r>
      <w:proofErr w:type="spellStart"/>
      <w:r w:rsidRPr="00743BEA">
        <w:rPr>
          <w:lang w:val="fr-FR"/>
        </w:rPr>
        <w:t>Degener</w:t>
      </w:r>
      <w:proofErr w:type="spellEnd"/>
      <w:r w:rsidRPr="00743BEA">
        <w:rPr>
          <w:lang w:val="fr-FR"/>
        </w:rPr>
        <w:tab/>
        <w:t xml:space="preserve">Kristina </w:t>
      </w:r>
      <w:proofErr w:type="spellStart"/>
      <w:r w:rsidRPr="00743BEA">
        <w:rPr>
          <w:lang w:val="fr-FR"/>
        </w:rPr>
        <w:t>Pardalos</w:t>
      </w:r>
      <w:proofErr w:type="spellEnd"/>
      <w:r w:rsidRPr="00743BEA">
        <w:rPr>
          <w:lang w:val="fr-FR"/>
        </w:rPr>
        <w:br/>
      </w:r>
      <w:r w:rsidRPr="00743BEA">
        <w:rPr>
          <w:iCs/>
          <w:lang w:val="fr-FR"/>
        </w:rPr>
        <w:tab/>
      </w:r>
      <w:r w:rsidRPr="00743BEA">
        <w:rPr>
          <w:lang w:val="fr-FR"/>
        </w:rPr>
        <w:t>Greffière adjointe</w:t>
      </w:r>
      <w:r w:rsidRPr="00743BEA">
        <w:rPr>
          <w:lang w:val="fr-FR"/>
        </w:rPr>
        <w:tab/>
        <w:t>Présidente</w:t>
      </w:r>
    </w:p>
    <w:p w:rsidR="00234E8A" w:rsidRPr="00743BEA" w:rsidRDefault="00234E8A" w:rsidP="00743BEA">
      <w:pPr>
        <w:rPr>
          <w:lang w:val="fr-FR"/>
        </w:rPr>
      </w:pPr>
    </w:p>
    <w:sectPr w:rsidR="00234E8A" w:rsidRPr="00743BEA" w:rsidSect="00AF7102">
      <w:headerReference w:type="even" r:id="rId17"/>
      <w:headerReference w:type="default" r:id="rId18"/>
      <w:headerReference w:type="first" r:id="rId19"/>
      <w:footerReference w:type="first" r:id="rId20"/>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E50" w:rsidRPr="00A335F3" w:rsidRDefault="00737E50" w:rsidP="006544C4">
      <w:pPr>
        <w:rPr>
          <w:lang w:val="fr-FR"/>
        </w:rPr>
      </w:pPr>
      <w:r w:rsidRPr="00A335F3">
        <w:rPr>
          <w:lang w:val="fr-FR"/>
        </w:rPr>
        <w:separator/>
      </w:r>
    </w:p>
  </w:endnote>
  <w:endnote w:type="continuationSeparator" w:id="0">
    <w:p w:rsidR="00737E50" w:rsidRPr="00A335F3" w:rsidRDefault="00737E50" w:rsidP="006544C4">
      <w:pPr>
        <w:rPr>
          <w:lang w:val="fr-FR"/>
        </w:rPr>
      </w:pPr>
      <w:r w:rsidRPr="00A335F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8A" w:rsidRPr="00150BFA" w:rsidRDefault="00A3278A" w:rsidP="0020718E">
    <w:pPr>
      <w:jc w:val="center"/>
    </w:pPr>
    <w:r>
      <w:rPr>
        <w:noProof/>
        <w:lang w:val="it-IT" w:eastAsia="it-IT"/>
      </w:rPr>
      <w:drawing>
        <wp:inline distT="0" distB="0" distL="0" distR="0" wp14:anchorId="16DC5052" wp14:editId="1D020DD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A335F3" w:rsidRDefault="00737E50"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E50" w:rsidRPr="00A335F3" w:rsidRDefault="00737E50" w:rsidP="006544C4">
      <w:pPr>
        <w:rPr>
          <w:lang w:val="fr-FR"/>
        </w:rPr>
      </w:pPr>
      <w:r w:rsidRPr="00A335F3">
        <w:rPr>
          <w:lang w:val="fr-FR"/>
        </w:rPr>
        <w:separator/>
      </w:r>
    </w:p>
  </w:footnote>
  <w:footnote w:type="continuationSeparator" w:id="0">
    <w:p w:rsidR="00737E50" w:rsidRPr="00A335F3" w:rsidRDefault="00737E50" w:rsidP="006544C4">
      <w:pPr>
        <w:rPr>
          <w:lang w:val="fr-FR"/>
        </w:rPr>
      </w:pPr>
      <w:r w:rsidRPr="00A335F3">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335F3" w:rsidRDefault="00A3278A" w:rsidP="003312A3">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633A44">
      <w:rPr>
        <w:rStyle w:val="Numeropagina"/>
        <w:noProof/>
        <w:lang w:val="fr-FR"/>
      </w:rPr>
      <w:t>4</w:t>
    </w:r>
    <w:r>
      <w:rPr>
        <w:rStyle w:val="Numeropagina"/>
        <w:lang w:val="fr-FR"/>
      </w:rPr>
      <w:fldChar w:fldCharType="end"/>
    </w:r>
    <w:r w:rsidR="00334EC5" w:rsidRPr="00A335F3">
      <w:rPr>
        <w:lang w:val="fr-FR"/>
      </w:rPr>
      <w:tab/>
      <w:t xml:space="preserve">DÉCISION </w:t>
    </w:r>
    <w:r>
      <w:rPr>
        <w:lang w:val="fr-FR"/>
      </w:rPr>
      <w:t>COSTA SANSEVERINO DI BISIGNANO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335F3" w:rsidRDefault="00334EC5" w:rsidP="006544C4">
    <w:pPr>
      <w:pStyle w:val="ECHRHeader"/>
      <w:rPr>
        <w:lang w:val="fr-FR"/>
      </w:rPr>
    </w:pPr>
    <w:r w:rsidRPr="00A335F3">
      <w:rPr>
        <w:lang w:val="fr-FR"/>
      </w:rPr>
      <w:tab/>
      <w:t xml:space="preserve">DÉCISION </w:t>
    </w:r>
    <w:r w:rsidR="00A3278A">
      <w:rPr>
        <w:lang w:val="fr-FR"/>
      </w:rPr>
      <w:t>COSTA SANSEVERINO DI BISIGNANO c. ITALIE</w:t>
    </w:r>
    <w:r w:rsidRPr="00A335F3">
      <w:rPr>
        <w:lang w:val="fr-FR"/>
      </w:rPr>
      <w:tab/>
    </w:r>
    <w:r w:rsidR="00A3278A">
      <w:rPr>
        <w:rStyle w:val="Numeropagina"/>
        <w:lang w:val="fr-FR"/>
      </w:rPr>
      <w:fldChar w:fldCharType="begin"/>
    </w:r>
    <w:r w:rsidR="00A3278A">
      <w:rPr>
        <w:rStyle w:val="Numeropagina"/>
        <w:lang w:val="fr-FR"/>
      </w:rPr>
      <w:instrText xml:space="preserve"> PAGE </w:instrText>
    </w:r>
    <w:r w:rsidR="00A3278A">
      <w:rPr>
        <w:rStyle w:val="Numeropagina"/>
        <w:lang w:val="fr-FR"/>
      </w:rPr>
      <w:fldChar w:fldCharType="separate"/>
    </w:r>
    <w:r w:rsidR="00633A44">
      <w:rPr>
        <w:rStyle w:val="Numeropagina"/>
        <w:noProof/>
        <w:lang w:val="fr-FR"/>
      </w:rPr>
      <w:t>5</w:t>
    </w:r>
    <w:r w:rsidR="00A3278A">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8A" w:rsidRPr="00A45145" w:rsidRDefault="00A3278A" w:rsidP="00A45145">
    <w:pPr>
      <w:jc w:val="center"/>
    </w:pPr>
    <w:r>
      <w:rPr>
        <w:noProof/>
        <w:lang w:val="it-IT" w:eastAsia="it-IT"/>
      </w:rPr>
      <w:drawing>
        <wp:inline distT="0" distB="0" distL="0" distR="0" wp14:anchorId="7FD64FCA" wp14:editId="5BBFF21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A335F3" w:rsidRDefault="00737E50"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A3278A"/>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229A"/>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216CA"/>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24C4"/>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3A44"/>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37E50"/>
    <w:rsid w:val="00741404"/>
    <w:rsid w:val="00743BEA"/>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8F5FF6"/>
    <w:rsid w:val="009013A7"/>
    <w:rsid w:val="009017FB"/>
    <w:rsid w:val="009017FC"/>
    <w:rsid w:val="0090506B"/>
    <w:rsid w:val="009050C9"/>
    <w:rsid w:val="009066FC"/>
    <w:rsid w:val="009140A3"/>
    <w:rsid w:val="009144A2"/>
    <w:rsid w:val="0091478F"/>
    <w:rsid w:val="0091510C"/>
    <w:rsid w:val="00917EA7"/>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278A"/>
    <w:rsid w:val="00A335F3"/>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9130D"/>
    <w:pPr>
      <w:jc w:val="both"/>
    </w:pPr>
    <w:rPr>
      <w:rFonts w:eastAsiaTheme="minorEastAsia"/>
      <w:sz w:val="24"/>
    </w:rPr>
  </w:style>
  <w:style w:type="paragraph" w:styleId="Titolo1">
    <w:name w:val="heading 1"/>
    <w:basedOn w:val="Normale"/>
    <w:next w:val="Normale"/>
    <w:link w:val="Titolo1Carattere"/>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9130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9130D"/>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9130D"/>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9130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9130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913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30D"/>
    <w:rPr>
      <w:rFonts w:ascii="Tahoma" w:eastAsiaTheme="minorEastAsia" w:hAnsi="Tahoma" w:cs="Tahoma"/>
      <w:sz w:val="16"/>
      <w:szCs w:val="16"/>
    </w:rPr>
  </w:style>
  <w:style w:type="character" w:styleId="Titolodellibro">
    <w:name w:val="Book Title"/>
    <w:uiPriority w:val="99"/>
    <w:semiHidden/>
    <w:qFormat/>
    <w:rsid w:val="00F9130D"/>
    <w:rPr>
      <w:i/>
      <w:iCs/>
      <w:smallCaps/>
      <w:spacing w:val="5"/>
    </w:rPr>
  </w:style>
  <w:style w:type="paragraph" w:customStyle="1" w:styleId="ECHRHeader">
    <w:name w:val="ECHR_Header"/>
    <w:aliases w:val="Ju_Header"/>
    <w:basedOn w:val="Intestazione"/>
    <w:uiPriority w:val="4"/>
    <w:qFormat/>
    <w:rsid w:val="00F9130D"/>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F9130D"/>
    <w:pPr>
      <w:numPr>
        <w:numId w:val="25"/>
      </w:numPr>
      <w:jc w:val="left"/>
    </w:pPr>
    <w:rPr>
      <w:b/>
    </w:rPr>
  </w:style>
  <w:style w:type="character" w:styleId="Enfasigrassetto">
    <w:name w:val="Strong"/>
    <w:uiPriority w:val="99"/>
    <w:semiHidden/>
    <w:qFormat/>
    <w:rsid w:val="00F9130D"/>
    <w:rPr>
      <w:b/>
      <w:bCs/>
    </w:rPr>
  </w:style>
  <w:style w:type="paragraph" w:styleId="Nessunaspaziatura">
    <w:name w:val="No Spacing"/>
    <w:basedOn w:val="Normale"/>
    <w:link w:val="NessunaspaziaturaCarattere"/>
    <w:semiHidden/>
    <w:qFormat/>
    <w:rsid w:val="00F9130D"/>
    <w:rPr>
      <w:sz w:val="22"/>
    </w:rPr>
  </w:style>
  <w:style w:type="character" w:customStyle="1" w:styleId="NessunaspaziaturaCarattere">
    <w:name w:val="Nessuna spaziatura Carattere"/>
    <w:basedOn w:val="Carpredefinitoparagrafo"/>
    <w:link w:val="Nessunaspaziatura"/>
    <w:semiHidden/>
    <w:rsid w:val="00F9130D"/>
    <w:rPr>
      <w:rFonts w:eastAsiaTheme="minorEastAsia"/>
    </w:rPr>
  </w:style>
  <w:style w:type="paragraph" w:customStyle="1" w:styleId="OpiPara">
    <w:name w:val="Opi_Para"/>
    <w:basedOn w:val="ECHRPara"/>
    <w:uiPriority w:val="46"/>
    <w:qFormat/>
    <w:rsid w:val="00F9130D"/>
  </w:style>
  <w:style w:type="paragraph" w:customStyle="1" w:styleId="ECHRParaQuote">
    <w:name w:val="ECHR_Para_Quote"/>
    <w:aliases w:val="Ju_Quot"/>
    <w:basedOn w:val="Normale"/>
    <w:uiPriority w:val="14"/>
    <w:qFormat/>
    <w:rsid w:val="00F9130D"/>
    <w:pPr>
      <w:spacing w:before="120" w:after="120"/>
      <w:ind w:left="425" w:firstLine="142"/>
    </w:pPr>
    <w:rPr>
      <w:sz w:val="20"/>
    </w:rPr>
  </w:style>
  <w:style w:type="paragraph" w:customStyle="1" w:styleId="JuParaSub">
    <w:name w:val="Ju_Para_Sub"/>
    <w:basedOn w:val="ECHRPara"/>
    <w:uiPriority w:val="13"/>
    <w:qFormat/>
    <w:rsid w:val="00F9130D"/>
    <w:pPr>
      <w:ind w:left="284"/>
    </w:pPr>
  </w:style>
  <w:style w:type="paragraph" w:customStyle="1" w:styleId="OpiParaSub">
    <w:name w:val="Opi_Para_Sub"/>
    <w:basedOn w:val="JuParaSub"/>
    <w:uiPriority w:val="47"/>
    <w:qFormat/>
    <w:rsid w:val="00F9130D"/>
  </w:style>
  <w:style w:type="paragraph" w:customStyle="1" w:styleId="OpiQuot">
    <w:name w:val="Opi_Quot"/>
    <w:basedOn w:val="ECHRParaQuote"/>
    <w:uiPriority w:val="48"/>
    <w:qFormat/>
    <w:rsid w:val="00F9130D"/>
  </w:style>
  <w:style w:type="paragraph" w:customStyle="1" w:styleId="OpiQuotSub">
    <w:name w:val="Opi_Quot_Sub"/>
    <w:basedOn w:val="JuQuotSub"/>
    <w:uiPriority w:val="49"/>
    <w:qFormat/>
    <w:rsid w:val="00F9130D"/>
  </w:style>
  <w:style w:type="paragraph" w:customStyle="1" w:styleId="ECHRTitleCentre3">
    <w:name w:val="ECHR_Title_Centre_3"/>
    <w:aliases w:val="Ju_H_Article"/>
    <w:basedOn w:val="Normale"/>
    <w:next w:val="ECHRParaQuote"/>
    <w:uiPriority w:val="27"/>
    <w:qFormat/>
    <w:rsid w:val="00F913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F913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9130D"/>
    <w:pPr>
      <w:ind w:left="567"/>
    </w:pPr>
  </w:style>
  <w:style w:type="paragraph" w:customStyle="1" w:styleId="ECHRTitle1">
    <w:name w:val="ECHR_Title_1"/>
    <w:aliases w:val="Ju_H_Head"/>
    <w:basedOn w:val="Normale"/>
    <w:next w:val="ECHRPara"/>
    <w:uiPriority w:val="18"/>
    <w:qFormat/>
    <w:rsid w:val="00F9130D"/>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F9130D"/>
    <w:pPr>
      <w:tabs>
        <w:tab w:val="center" w:pos="6407"/>
      </w:tabs>
      <w:spacing w:before="720"/>
      <w:jc w:val="right"/>
    </w:pPr>
  </w:style>
  <w:style w:type="paragraph" w:styleId="Titolo">
    <w:name w:val="Title"/>
    <w:basedOn w:val="Normale"/>
    <w:next w:val="Normale"/>
    <w:link w:val="TitoloCarattere"/>
    <w:uiPriority w:val="99"/>
    <w:semiHidden/>
    <w:qFormat/>
    <w:rsid w:val="00F913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9130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F9130D"/>
    <w:pPr>
      <w:tabs>
        <w:tab w:val="clear" w:pos="357"/>
      </w:tabs>
      <w:outlineLvl w:val="1"/>
    </w:pPr>
    <w:rPr>
      <w:b/>
    </w:rPr>
  </w:style>
  <w:style w:type="character" w:customStyle="1" w:styleId="JUNAMES">
    <w:name w:val="JU_NAMES"/>
    <w:uiPriority w:val="17"/>
    <w:qFormat/>
    <w:rsid w:val="00F9130D"/>
    <w:rPr>
      <w:caps w:val="0"/>
      <w:smallCaps/>
    </w:rPr>
  </w:style>
  <w:style w:type="character" w:customStyle="1" w:styleId="JuITMark">
    <w:name w:val="Ju_ITMark"/>
    <w:basedOn w:val="Carpredefinitoparagrafo"/>
    <w:uiPriority w:val="38"/>
    <w:qFormat/>
    <w:rsid w:val="00F9130D"/>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F9130D"/>
    <w:pPr>
      <w:jc w:val="center"/>
      <w:outlineLvl w:val="0"/>
    </w:pPr>
    <w:rPr>
      <w:i/>
    </w:rPr>
  </w:style>
  <w:style w:type="paragraph" w:customStyle="1" w:styleId="JuCourt">
    <w:name w:val="Ju_Court"/>
    <w:basedOn w:val="Normale"/>
    <w:next w:val="Normale"/>
    <w:uiPriority w:val="16"/>
    <w:qFormat/>
    <w:rsid w:val="00F913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F913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F913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F9130D"/>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F9130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9130D"/>
    <w:rPr>
      <w:sz w:val="24"/>
    </w:rPr>
  </w:style>
  <w:style w:type="character" w:customStyle="1" w:styleId="Titolo1Carattere">
    <w:name w:val="Titolo 1 Carattere"/>
    <w:basedOn w:val="Carpredefinitoparagrafo"/>
    <w:link w:val="Titolo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F913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9130D"/>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F913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F9130D"/>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F9130D"/>
    <w:pPr>
      <w:keepNext/>
      <w:keepLines/>
      <w:spacing w:before="240"/>
      <w:ind w:firstLine="284"/>
    </w:pPr>
  </w:style>
  <w:style w:type="paragraph" w:customStyle="1" w:styleId="DecList">
    <w:name w:val="Dec_List"/>
    <w:basedOn w:val="Normale"/>
    <w:uiPriority w:val="9"/>
    <w:qFormat/>
    <w:rsid w:val="00F9130D"/>
    <w:pPr>
      <w:spacing w:before="240"/>
      <w:ind w:left="284"/>
    </w:pPr>
  </w:style>
  <w:style w:type="character" w:customStyle="1" w:styleId="Titolo4Carattere">
    <w:name w:val="Titolo 4 Carattere"/>
    <w:basedOn w:val="Carpredefinitoparagrafo"/>
    <w:link w:val="Titolo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F9130D"/>
    <w:pPr>
      <w:tabs>
        <w:tab w:val="left" w:pos="567"/>
        <w:tab w:val="left" w:pos="1134"/>
      </w:tabs>
      <w:jc w:val="left"/>
    </w:pPr>
  </w:style>
  <w:style w:type="character" w:customStyle="1" w:styleId="Titolo5Carattere">
    <w:name w:val="Titolo 5 Carattere"/>
    <w:basedOn w:val="Carpredefinitoparagrafo"/>
    <w:link w:val="Titolo5"/>
    <w:uiPriority w:val="99"/>
    <w:semiHidden/>
    <w:rsid w:val="00F9130D"/>
    <w:rPr>
      <w:rFonts w:asciiTheme="majorHAnsi" w:eastAsiaTheme="majorEastAsia" w:hAnsiTheme="majorHAnsi" w:cstheme="majorBidi"/>
      <w:b/>
      <w:bCs/>
      <w:color w:val="808080"/>
    </w:rPr>
  </w:style>
  <w:style w:type="paragraph" w:customStyle="1" w:styleId="JuList">
    <w:name w:val="Ju_List"/>
    <w:basedOn w:val="Normale"/>
    <w:uiPriority w:val="28"/>
    <w:qFormat/>
    <w:rsid w:val="00F9130D"/>
    <w:pPr>
      <w:ind w:left="340" w:hanging="340"/>
    </w:pPr>
  </w:style>
  <w:style w:type="paragraph" w:customStyle="1" w:styleId="JuLista">
    <w:name w:val="Ju_List_a"/>
    <w:basedOn w:val="JuList"/>
    <w:uiPriority w:val="28"/>
    <w:qFormat/>
    <w:rsid w:val="00F9130D"/>
    <w:pPr>
      <w:ind w:left="346" w:firstLine="0"/>
    </w:pPr>
  </w:style>
  <w:style w:type="character" w:styleId="Enfasidelicata">
    <w:name w:val="Subtle Emphasis"/>
    <w:uiPriority w:val="99"/>
    <w:semiHidden/>
    <w:qFormat/>
    <w:rsid w:val="00F9130D"/>
    <w:rPr>
      <w:i/>
      <w:iCs/>
    </w:rPr>
  </w:style>
  <w:style w:type="paragraph" w:customStyle="1" w:styleId="JuListi">
    <w:name w:val="Ju_List_i"/>
    <w:basedOn w:val="Normale"/>
    <w:next w:val="JuLista"/>
    <w:uiPriority w:val="28"/>
    <w:qFormat/>
    <w:rsid w:val="00F9130D"/>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F9130D"/>
    <w:pPr>
      <w:ind w:left="635" w:hanging="357"/>
      <w:outlineLvl w:val="2"/>
    </w:pPr>
  </w:style>
  <w:style w:type="paragraph" w:customStyle="1" w:styleId="OpiHa0">
    <w:name w:val="Opi_H_a"/>
    <w:basedOn w:val="ECHRHeading3"/>
    <w:uiPriority w:val="43"/>
    <w:qFormat/>
    <w:rsid w:val="00F9130D"/>
    <w:pPr>
      <w:ind w:left="833" w:hanging="357"/>
      <w:outlineLvl w:val="3"/>
    </w:pPr>
    <w:rPr>
      <w:b/>
      <w:i w:val="0"/>
      <w:sz w:val="20"/>
    </w:rPr>
  </w:style>
  <w:style w:type="paragraph" w:customStyle="1" w:styleId="ECHRTitleCentre2">
    <w:name w:val="ECHR_Title_Centre_2"/>
    <w:aliases w:val="Dec_H_Case"/>
    <w:basedOn w:val="Normale"/>
    <w:next w:val="ECHRPara"/>
    <w:uiPriority w:val="8"/>
    <w:qFormat/>
    <w:rsid w:val="00F9130D"/>
    <w:pPr>
      <w:spacing w:after="240"/>
      <w:jc w:val="center"/>
      <w:outlineLvl w:val="0"/>
    </w:pPr>
    <w:rPr>
      <w:rFonts w:asciiTheme="majorHAnsi" w:hAnsiTheme="majorHAnsi"/>
    </w:rPr>
  </w:style>
  <w:style w:type="character" w:styleId="Enfasicorsivo">
    <w:name w:val="Emphasis"/>
    <w:uiPriority w:val="99"/>
    <w:semiHidden/>
    <w:qFormat/>
    <w:rsid w:val="00F9130D"/>
    <w:rPr>
      <w:b/>
      <w:bCs/>
      <w:i/>
      <w:iCs/>
      <w:spacing w:val="10"/>
      <w:bdr w:val="none" w:sz="0" w:space="0" w:color="auto"/>
      <w:shd w:val="clear" w:color="auto" w:fill="auto"/>
    </w:rPr>
  </w:style>
  <w:style w:type="paragraph" w:styleId="Pidipagina">
    <w:name w:val="footer"/>
    <w:basedOn w:val="Normale"/>
    <w:link w:val="PidipaginaCarattere"/>
    <w:uiPriority w:val="57"/>
    <w:semiHidden/>
    <w:rsid w:val="00F9130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9130D"/>
    <w:rPr>
      <w:sz w:val="24"/>
    </w:rPr>
  </w:style>
  <w:style w:type="character" w:styleId="Rimandonotaapidipagina">
    <w:name w:val="footnote reference"/>
    <w:basedOn w:val="Carpredefinitoparagrafo"/>
    <w:uiPriority w:val="99"/>
    <w:semiHidden/>
    <w:rsid w:val="00F9130D"/>
    <w:rPr>
      <w:vertAlign w:val="superscript"/>
    </w:rPr>
  </w:style>
  <w:style w:type="paragraph" w:styleId="Testonotaapidipagina">
    <w:name w:val="footnote text"/>
    <w:basedOn w:val="Normale"/>
    <w:link w:val="TestonotaapidipaginaCarattere"/>
    <w:uiPriority w:val="99"/>
    <w:semiHidden/>
    <w:rsid w:val="00F9130D"/>
    <w:rPr>
      <w:sz w:val="20"/>
      <w:szCs w:val="20"/>
    </w:rPr>
  </w:style>
  <w:style w:type="character" w:customStyle="1" w:styleId="TestonotaapidipaginaCarattere">
    <w:name w:val="Testo nota a piè di pagina Carattere"/>
    <w:basedOn w:val="Carpredefinitoparagrafo"/>
    <w:link w:val="Testonotaapidipagina"/>
    <w:uiPriority w:val="99"/>
    <w:semiHidden/>
    <w:rsid w:val="00F9130D"/>
    <w:rPr>
      <w:rFonts w:eastAsiaTheme="minorEastAsia"/>
      <w:sz w:val="20"/>
      <w:szCs w:val="20"/>
    </w:rPr>
  </w:style>
  <w:style w:type="character" w:customStyle="1" w:styleId="Titolo6Carattere">
    <w:name w:val="Titolo 6 Carattere"/>
    <w:basedOn w:val="Carpredefinitoparagrafo"/>
    <w:link w:val="Titolo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9130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9130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9130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9130D"/>
    <w:rPr>
      <w:color w:val="0072BC" w:themeColor="hyperlink"/>
      <w:u w:val="single"/>
    </w:rPr>
  </w:style>
  <w:style w:type="character" w:styleId="Enfasiintensa">
    <w:name w:val="Intense Emphasis"/>
    <w:uiPriority w:val="99"/>
    <w:semiHidden/>
    <w:qFormat/>
    <w:rsid w:val="00F9130D"/>
    <w:rPr>
      <w:b/>
      <w:bCs/>
    </w:rPr>
  </w:style>
  <w:style w:type="paragraph" w:styleId="Citazioneintensa">
    <w:name w:val="Intense Quote"/>
    <w:basedOn w:val="Normale"/>
    <w:next w:val="Normale"/>
    <w:link w:val="CitazioneintensaCarattere"/>
    <w:uiPriority w:val="99"/>
    <w:semiHidden/>
    <w:qFormat/>
    <w:rsid w:val="00F9130D"/>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9130D"/>
    <w:rPr>
      <w:rFonts w:eastAsiaTheme="minorEastAsia"/>
      <w:b/>
      <w:bCs/>
      <w:i/>
      <w:iCs/>
      <w:lang w:bidi="en-US"/>
    </w:rPr>
  </w:style>
  <w:style w:type="character" w:styleId="Riferimentointenso">
    <w:name w:val="Intense Reference"/>
    <w:uiPriority w:val="99"/>
    <w:semiHidden/>
    <w:qFormat/>
    <w:rsid w:val="00F9130D"/>
    <w:rPr>
      <w:smallCaps/>
      <w:spacing w:val="5"/>
      <w:u w:val="single"/>
    </w:rPr>
  </w:style>
  <w:style w:type="paragraph" w:styleId="Paragrafoelenco">
    <w:name w:val="List Paragraph"/>
    <w:basedOn w:val="Normale"/>
    <w:uiPriority w:val="99"/>
    <w:semiHidden/>
    <w:qFormat/>
    <w:rsid w:val="00F9130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F9130D"/>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9130D"/>
    <w:rPr>
      <w:rFonts w:eastAsiaTheme="minorEastAsia"/>
      <w:i/>
      <w:iCs/>
      <w:lang w:bidi="en-US"/>
    </w:rPr>
  </w:style>
  <w:style w:type="character" w:styleId="Riferimentodelicato">
    <w:name w:val="Subtle Reference"/>
    <w:uiPriority w:val="99"/>
    <w:semiHidden/>
    <w:qFormat/>
    <w:rsid w:val="00F9130D"/>
    <w:rPr>
      <w:smallCaps/>
    </w:rPr>
  </w:style>
  <w:style w:type="table" w:styleId="Grigliatabella">
    <w:name w:val="Table Grid"/>
    <w:basedOn w:val="Tabellanormale"/>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F9130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F9130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F9130D"/>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F9130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F913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qFormat/>
    <w:rsid w:val="00F9130D"/>
    <w:pPr>
      <w:ind w:left="1037" w:hanging="357"/>
      <w:outlineLvl w:val="4"/>
    </w:pPr>
    <w:rPr>
      <w:b w:val="0"/>
      <w:i/>
    </w:rPr>
  </w:style>
  <w:style w:type="paragraph" w:customStyle="1" w:styleId="DummyStyle">
    <w:name w:val="Dummy_Style"/>
    <w:basedOn w:val="Normale"/>
    <w:semiHidden/>
    <w:qFormat/>
    <w:rsid w:val="00F9130D"/>
    <w:rPr>
      <w:color w:val="00B050"/>
    </w:rPr>
  </w:style>
  <w:style w:type="paragraph" w:styleId="Sottotitolo">
    <w:name w:val="Subtitle"/>
    <w:basedOn w:val="Normale"/>
    <w:next w:val="Normale"/>
    <w:link w:val="SottotitoloCarattere"/>
    <w:uiPriority w:val="99"/>
    <w:semiHidden/>
    <w:qFormat/>
    <w:rsid w:val="00F9130D"/>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F9130D"/>
    <w:pPr>
      <w:ind w:firstLine="284"/>
    </w:pPr>
  </w:style>
  <w:style w:type="character" w:customStyle="1" w:styleId="SottotitoloCarattere">
    <w:name w:val="Sottotitolo Carattere"/>
    <w:basedOn w:val="Carpredefinitoparagrafo"/>
    <w:link w:val="Sottotitolo"/>
    <w:uiPriority w:val="99"/>
    <w:semiHidden/>
    <w:rsid w:val="00F9130D"/>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F9130D"/>
    <w:pPr>
      <w:tabs>
        <w:tab w:val="center" w:pos="851"/>
        <w:tab w:val="center" w:pos="6407"/>
      </w:tabs>
      <w:spacing w:before="720"/>
      <w:jc w:val="left"/>
    </w:pPr>
  </w:style>
  <w:style w:type="paragraph" w:customStyle="1" w:styleId="JuTitle">
    <w:name w:val="Ju_Title"/>
    <w:basedOn w:val="Normale"/>
    <w:next w:val="ECHRPara"/>
    <w:uiPriority w:val="3"/>
    <w:qFormat/>
    <w:rsid w:val="00F9130D"/>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F9130D"/>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F9130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F9130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F9130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F9130D"/>
    <w:pPr>
      <w:jc w:val="left"/>
    </w:pPr>
    <w:rPr>
      <w:sz w:val="8"/>
    </w:rPr>
  </w:style>
  <w:style w:type="paragraph" w:customStyle="1" w:styleId="ECHRFooterLine">
    <w:name w:val="ECHR_Footer_Line"/>
    <w:aliases w:val="Footer_Line"/>
    <w:basedOn w:val="Normale"/>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F9130D"/>
    <w:pPr>
      <w:ind w:firstLine="284"/>
    </w:pPr>
    <w:rPr>
      <w:b/>
    </w:rPr>
  </w:style>
  <w:style w:type="paragraph" w:customStyle="1" w:styleId="JuHeaderLandscape">
    <w:name w:val="Ju_Header_Landscape"/>
    <w:basedOn w:val="ECHRHeader"/>
    <w:uiPriority w:val="4"/>
    <w:qFormat/>
    <w:rsid w:val="00F9130D"/>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A3278A"/>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doc.echr.coe.int/e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udoc.echr.coe.int/e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doc.echr.coe.int/eng" TargetMode="External"/><Relationship Id="rId5" Type="http://schemas.openxmlformats.org/officeDocument/2006/relationships/numbering" Target="numbering.xml"/><Relationship Id="rId15" Type="http://schemas.openxmlformats.org/officeDocument/2006/relationships/hyperlink" Target="https://hudoc.echr.coe.int/en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doc.echr.coe.int/e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1932-B1D3-4F61-8599-8F124ECA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457EE1-2FBC-4043-9C25-68D99EA1DE82}">
  <ds:schemaRefs>
    <ds:schemaRef ds:uri="http://schemas.microsoft.com/sharepoint/v3/contenttype/forms"/>
  </ds:schemaRefs>
</ds:datastoreItem>
</file>

<file path=customXml/itemProps3.xml><?xml version="1.0" encoding="utf-8"?>
<ds:datastoreItem xmlns:ds="http://schemas.openxmlformats.org/officeDocument/2006/customXml" ds:itemID="{6FDB3D55-D8D7-4602-B76D-FAD8065517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9490FD-D264-4442-B13F-03D326DE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8487</Characters>
  <Application>Microsoft Office Word</Application>
  <DocSecurity>0</DocSecurity>
  <Lines>70</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2018-07-03T09:58:00Z</dcterms:created>
  <dcterms:modified xsi:type="dcterms:W3CDTF">2018-07-03T09:58:00Z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58330/16</vt:lpwstr>
  </property>
  <property fmtid="{D5CDD505-2E9C-101B-9397-08002B2CF9AE}" pid="4" name="CASEID">
    <vt:lpwstr>1251821</vt:lpwstr>
  </property>
  <property fmtid="{D5CDD505-2E9C-101B-9397-08002B2CF9AE}" pid="5" name="ContentTypeId">
    <vt:lpwstr>0x010100558EB02BDB9E204AB350EDD385B68E10</vt:lpwstr>
  </property>
</Properties>
</file>